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22A" w14:textId="77777777" w:rsidR="00066726" w:rsidRDefault="00066726" w:rsidP="00066726">
      <w:pPr>
        <w:spacing w:before="463"/>
        <w:contextualSpacing/>
        <w:jc w:val="center"/>
        <w:textAlignment w:val="baseline"/>
        <w:rPr>
          <w:rFonts w:ascii="Arial" w:eastAsia="Arial" w:hAnsi="Arial" w:cs="Arial"/>
          <w:b/>
          <w:color w:val="000000"/>
          <w:sz w:val="24"/>
          <w:szCs w:val="24"/>
        </w:rPr>
      </w:pPr>
      <w:r w:rsidRPr="00FB561E">
        <w:rPr>
          <w:rFonts w:ascii="Arial" w:eastAsia="Arial" w:hAnsi="Arial" w:cs="Arial"/>
          <w:b/>
          <w:color w:val="000000"/>
          <w:sz w:val="24"/>
          <w:szCs w:val="24"/>
        </w:rPr>
        <w:t>The Cincinnati Casualty Company</w:t>
      </w:r>
    </w:p>
    <w:p w14:paraId="0CD3B8EC" w14:textId="77777777" w:rsidR="00066726" w:rsidRDefault="00066726" w:rsidP="00066726">
      <w:pPr>
        <w:spacing w:before="463"/>
        <w:contextualSpacing/>
        <w:jc w:val="center"/>
        <w:textAlignment w:val="baseline"/>
        <w:rPr>
          <w:rFonts w:ascii="Arial" w:eastAsia="Arial" w:hAnsi="Arial" w:cs="Arial"/>
          <w:b/>
          <w:color w:val="000000"/>
          <w:sz w:val="24"/>
          <w:szCs w:val="24"/>
        </w:rPr>
      </w:pPr>
      <w:r w:rsidRPr="00FB561E">
        <w:rPr>
          <w:rFonts w:ascii="Arial" w:eastAsia="Arial" w:hAnsi="Arial" w:cs="Arial"/>
          <w:b/>
          <w:color w:val="000000"/>
          <w:sz w:val="24"/>
          <w:szCs w:val="24"/>
        </w:rPr>
        <w:t>Decision Point Review Plan including</w:t>
      </w:r>
    </w:p>
    <w:p w14:paraId="201C30EB" w14:textId="3169EA09" w:rsidR="00066726" w:rsidRDefault="00066726" w:rsidP="00066726">
      <w:pPr>
        <w:spacing w:before="463"/>
        <w:ind w:left="3600"/>
        <w:contextualSpacing/>
        <w:textAlignment w:val="baseline"/>
        <w:rPr>
          <w:rFonts w:ascii="Arial" w:eastAsia="Arial" w:hAnsi="Arial" w:cs="Arial"/>
          <w:b/>
          <w:color w:val="000000"/>
          <w:spacing w:val="-1"/>
          <w:sz w:val="20"/>
        </w:rPr>
      </w:pPr>
      <w:r>
        <w:rPr>
          <w:rFonts w:ascii="Arial" w:eastAsia="Arial" w:hAnsi="Arial" w:cs="Arial"/>
          <w:b/>
          <w:color w:val="000000"/>
          <w:sz w:val="24"/>
          <w:szCs w:val="24"/>
        </w:rPr>
        <w:t>Precertification Requirement</w:t>
      </w:r>
    </w:p>
    <w:p w14:paraId="6EB7BEEE" w14:textId="77777777" w:rsidR="00066726" w:rsidRDefault="00066726" w:rsidP="00B41B7B">
      <w:pPr>
        <w:spacing w:before="463"/>
        <w:contextualSpacing/>
        <w:textAlignment w:val="baseline"/>
        <w:rPr>
          <w:rFonts w:ascii="Arial" w:eastAsia="Arial" w:hAnsi="Arial" w:cs="Arial"/>
          <w:b/>
          <w:color w:val="000000"/>
          <w:spacing w:val="-1"/>
          <w:sz w:val="20"/>
        </w:rPr>
      </w:pPr>
    </w:p>
    <w:p w14:paraId="0947C3E7" w14:textId="748D6063" w:rsidR="00B41B7B" w:rsidRPr="00D41EE7" w:rsidRDefault="00B41B7B" w:rsidP="00B41B7B">
      <w:pPr>
        <w:spacing w:before="463"/>
        <w:contextualSpacing/>
        <w:textAlignment w:val="baseline"/>
        <w:rPr>
          <w:rFonts w:ascii="Arial" w:eastAsia="Arial" w:hAnsi="Arial" w:cs="Arial"/>
          <w:b/>
          <w:color w:val="000000"/>
          <w:spacing w:val="-1"/>
          <w:sz w:val="20"/>
        </w:rPr>
      </w:pPr>
      <w:r w:rsidRPr="00D41EE7">
        <w:rPr>
          <w:rFonts w:ascii="Arial" w:eastAsia="Arial" w:hAnsi="Arial" w:cs="Arial"/>
          <w:b/>
          <w:color w:val="000000"/>
          <w:spacing w:val="-1"/>
          <w:sz w:val="20"/>
        </w:rPr>
        <w:t>DECISION POINT REVIEW:</w:t>
      </w:r>
    </w:p>
    <w:p w14:paraId="484B3BF3" w14:textId="77777777" w:rsidR="00B41B7B" w:rsidRPr="00FB561E" w:rsidRDefault="00B41B7B" w:rsidP="00B41B7B">
      <w:pPr>
        <w:spacing w:before="463"/>
        <w:contextualSpacing/>
        <w:jc w:val="center"/>
        <w:textAlignment w:val="baseline"/>
        <w:rPr>
          <w:rFonts w:ascii="Arial" w:eastAsia="Arial" w:hAnsi="Arial" w:cs="Arial"/>
          <w:b/>
          <w:color w:val="000000"/>
          <w:sz w:val="24"/>
          <w:szCs w:val="24"/>
        </w:rPr>
      </w:pPr>
    </w:p>
    <w:p w14:paraId="6122D06D" w14:textId="77777777" w:rsidR="00586313" w:rsidRPr="00D41EE7" w:rsidRDefault="00EF2F16" w:rsidP="00B41B7B">
      <w:pPr>
        <w:spacing w:before="223"/>
        <w:contextualSpacing/>
        <w:textAlignment w:val="baseline"/>
        <w:rPr>
          <w:rFonts w:ascii="Arial" w:eastAsia="Arial" w:hAnsi="Arial" w:cs="Arial"/>
          <w:color w:val="000000"/>
          <w:sz w:val="20"/>
        </w:rPr>
      </w:pPr>
      <w:r w:rsidRPr="00D41EE7">
        <w:rPr>
          <w:rFonts w:ascii="Arial" w:eastAsia="Arial" w:hAnsi="Arial" w:cs="Arial"/>
          <w:color w:val="000000"/>
          <w:sz w:val="20"/>
        </w:rPr>
        <w:t xml:space="preserve">Pursuant to N.J.A.C. 11:3-4, the New Jersey Department of Banking and Insurance has published standard courses of treatment, identified as </w:t>
      </w:r>
      <w:r w:rsidRPr="00D41EE7">
        <w:rPr>
          <w:rFonts w:ascii="Arial" w:eastAsia="Arial" w:hAnsi="Arial" w:cs="Arial"/>
          <w:b/>
          <w:color w:val="000000"/>
          <w:sz w:val="20"/>
        </w:rPr>
        <w:t>Care Paths</w:t>
      </w:r>
      <w:r w:rsidRPr="00D41EE7">
        <w:rPr>
          <w:rFonts w:ascii="Arial" w:eastAsia="Arial" w:hAnsi="Arial" w:cs="Arial"/>
          <w:color w:val="000000"/>
          <w:sz w:val="20"/>
        </w:rPr>
        <w:t xml:space="preserve">, for soft tissue injuries of neck and back, collectively referred to as </w:t>
      </w:r>
      <w:r w:rsidRPr="00D41EE7">
        <w:rPr>
          <w:rFonts w:ascii="Arial" w:eastAsia="Arial" w:hAnsi="Arial" w:cs="Arial"/>
          <w:b/>
          <w:color w:val="000000"/>
          <w:sz w:val="20"/>
        </w:rPr>
        <w:t>Identified Injuries (See Exhibit A)</w:t>
      </w:r>
      <w:r w:rsidRPr="00D41EE7">
        <w:rPr>
          <w:rFonts w:ascii="Arial" w:eastAsia="Arial" w:hAnsi="Arial" w:cs="Arial"/>
          <w:color w:val="000000"/>
          <w:sz w:val="20"/>
        </w:rPr>
        <w:t>. N.J.A.C. 11:3-4 also establishes guidelines for the use of certain diagnostic tests.</w:t>
      </w:r>
    </w:p>
    <w:p w14:paraId="0FA2D1F2" w14:textId="77777777" w:rsidR="00586313" w:rsidRPr="00D41EE7" w:rsidRDefault="00EF2F16">
      <w:pPr>
        <w:spacing w:before="227"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Treatments obtained in an emergency situation and / or within ten (10) calendar days of the insured event are not subject to decision point review (represented by the hexagonal symbols on the Care Paths) / precertification requirements. This provision shall not be construed so as to require reimbursement of tests and treatment that are not medically necessary, N.J.A.C. 11:3-4.7(b).</w:t>
      </w:r>
    </w:p>
    <w:p w14:paraId="745CFD6A" w14:textId="6D60EE98" w:rsidR="00586313" w:rsidRPr="00D41EE7" w:rsidRDefault="00EF2F16">
      <w:pPr>
        <w:spacing w:before="241" w:line="231" w:lineRule="exact"/>
        <w:jc w:val="both"/>
        <w:textAlignment w:val="baseline"/>
        <w:rPr>
          <w:rFonts w:ascii="Arial" w:eastAsia="Arial" w:hAnsi="Arial" w:cs="Arial"/>
          <w:strike/>
          <w:color w:val="000000"/>
          <w:sz w:val="20"/>
        </w:rPr>
      </w:pPr>
      <w:r w:rsidRPr="00D41EE7">
        <w:rPr>
          <w:rFonts w:ascii="Arial" w:eastAsia="Arial" w:hAnsi="Arial" w:cs="Arial"/>
          <w:color w:val="000000"/>
          <w:sz w:val="20"/>
        </w:rPr>
        <w:t xml:space="preserve">The </w:t>
      </w:r>
      <w:r w:rsidRPr="00D41EE7">
        <w:rPr>
          <w:rFonts w:ascii="Arial" w:eastAsia="Arial" w:hAnsi="Arial" w:cs="Arial"/>
          <w:b/>
          <w:color w:val="000000"/>
          <w:sz w:val="20"/>
        </w:rPr>
        <w:t xml:space="preserve">Care Paths </w:t>
      </w:r>
      <w:r w:rsidRPr="00D41EE7">
        <w:rPr>
          <w:rFonts w:ascii="Arial" w:eastAsia="Arial" w:hAnsi="Arial" w:cs="Arial"/>
          <w:color w:val="000000"/>
          <w:sz w:val="20"/>
        </w:rPr>
        <w:t xml:space="preserve">provide that treatment be evaluated at certain intervals called </w:t>
      </w:r>
      <w:r w:rsidRPr="00D41EE7">
        <w:rPr>
          <w:rFonts w:ascii="Arial" w:eastAsia="Arial" w:hAnsi="Arial" w:cs="Arial"/>
          <w:b/>
          <w:color w:val="000000"/>
          <w:sz w:val="20"/>
        </w:rPr>
        <w:t>Decision Points</w:t>
      </w:r>
      <w:r w:rsidRPr="00D41EE7">
        <w:rPr>
          <w:rFonts w:ascii="Arial" w:eastAsia="Arial" w:hAnsi="Arial" w:cs="Arial"/>
          <w:color w:val="000000"/>
          <w:sz w:val="20"/>
        </w:rPr>
        <w:t xml:space="preserve">. At </w:t>
      </w:r>
      <w:r w:rsidRPr="00D41EE7">
        <w:rPr>
          <w:rFonts w:ascii="Arial" w:eastAsia="Arial" w:hAnsi="Arial" w:cs="Arial"/>
          <w:b/>
          <w:color w:val="000000"/>
          <w:sz w:val="20"/>
        </w:rPr>
        <w:t>decision points</w:t>
      </w:r>
      <w:r w:rsidRPr="00D41EE7">
        <w:rPr>
          <w:rFonts w:ascii="Arial" w:eastAsia="Arial" w:hAnsi="Arial" w:cs="Arial"/>
          <w:color w:val="000000"/>
          <w:sz w:val="20"/>
        </w:rPr>
        <w:t xml:space="preserve">, you or your health care provider must provide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LLC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w:t>
      </w:r>
      <w:r w:rsidRPr="00D41EE7">
        <w:rPr>
          <w:rFonts w:ascii="Arial" w:eastAsia="Arial" w:hAnsi="Arial" w:cs="Arial"/>
          <w:color w:val="000000"/>
          <w:sz w:val="20"/>
        </w:rPr>
        <w:t xml:space="preserve">information about further treatment the provider intends to pursue. This is called </w:t>
      </w:r>
      <w:r w:rsidRPr="00D41EE7">
        <w:rPr>
          <w:rFonts w:ascii="Arial" w:eastAsia="Arial" w:hAnsi="Arial" w:cs="Arial"/>
          <w:b/>
          <w:color w:val="000000"/>
          <w:sz w:val="20"/>
        </w:rPr>
        <w:t>Decision Point Review</w:t>
      </w:r>
      <w:r w:rsidRPr="00D41EE7">
        <w:rPr>
          <w:rFonts w:ascii="Arial" w:eastAsia="Arial" w:hAnsi="Arial" w:cs="Arial"/>
          <w:color w:val="000000"/>
          <w:sz w:val="20"/>
        </w:rPr>
        <w:t xml:space="preserve">. Information regarding </w:t>
      </w:r>
      <w:r w:rsidRPr="00D41EE7">
        <w:rPr>
          <w:rFonts w:ascii="Arial" w:eastAsia="Arial" w:hAnsi="Arial" w:cs="Arial"/>
          <w:b/>
          <w:color w:val="000000"/>
          <w:sz w:val="20"/>
        </w:rPr>
        <w:t>Decision Point Review</w:t>
      </w:r>
      <w:r w:rsidRPr="00D41EE7">
        <w:rPr>
          <w:rFonts w:ascii="Arial" w:eastAsia="Arial" w:hAnsi="Arial" w:cs="Arial"/>
          <w:color w:val="000000"/>
          <w:sz w:val="20"/>
        </w:rPr>
        <w:t xml:space="preserve">, the </w:t>
      </w:r>
      <w:r w:rsidRPr="00D41EE7">
        <w:rPr>
          <w:rFonts w:ascii="Arial" w:eastAsia="Arial" w:hAnsi="Arial" w:cs="Arial"/>
          <w:b/>
          <w:color w:val="000000"/>
          <w:sz w:val="20"/>
        </w:rPr>
        <w:t xml:space="preserve">Care Paths </w:t>
      </w:r>
      <w:r w:rsidRPr="00D41EE7">
        <w:rPr>
          <w:rFonts w:ascii="Arial" w:eastAsia="Arial" w:hAnsi="Arial" w:cs="Arial"/>
          <w:color w:val="000000"/>
          <w:sz w:val="20"/>
        </w:rPr>
        <w:t xml:space="preserve">and other information is available on the website of the Department of Banking and </w:t>
      </w:r>
      <w:r w:rsidR="008C6D94">
        <w:rPr>
          <w:rFonts w:ascii="Arial" w:eastAsia="Arial" w:hAnsi="Arial" w:cs="Arial"/>
          <w:color w:val="000000"/>
          <w:sz w:val="20"/>
        </w:rPr>
        <w:t xml:space="preserve">Insurance via </w:t>
      </w:r>
      <w:hyperlink r:id="rId7">
        <w:r w:rsidRPr="008C6D94">
          <w:rPr>
            <w:rFonts w:ascii="Arial" w:eastAsia="Arial" w:hAnsi="Arial" w:cs="Arial"/>
            <w:color w:val="0000FF"/>
            <w:sz w:val="20"/>
            <w:u w:val="single"/>
          </w:rPr>
          <w:t>http://www.nj.gov/dobi/aicra</w:t>
        </w:r>
      </w:hyperlink>
      <w:r w:rsidRPr="008C6D94">
        <w:rPr>
          <w:rFonts w:ascii="Arial" w:eastAsia="Arial" w:hAnsi="Arial" w:cs="Arial"/>
          <w:color w:val="0000FF"/>
          <w:sz w:val="20"/>
          <w:u w:val="single"/>
        </w:rPr>
        <w:t>pg.htm</w:t>
      </w:r>
      <w:r w:rsidRPr="00D41EE7">
        <w:rPr>
          <w:rFonts w:ascii="Arial" w:eastAsia="Arial" w:hAnsi="Arial" w:cs="Arial"/>
          <w:color w:val="0000FF"/>
          <w:sz w:val="20"/>
        </w:rPr>
        <w:t>.</w:t>
      </w:r>
      <w:r w:rsidRPr="00D41EE7">
        <w:rPr>
          <w:rFonts w:ascii="Arial" w:eastAsia="Arial" w:hAnsi="Arial" w:cs="Arial"/>
          <w:color w:val="000000"/>
          <w:sz w:val="20"/>
        </w:rPr>
        <w:t xml:space="preserve"> The Cincinnati Indemnity Company Decision Point Review (</w:t>
      </w:r>
      <w:r w:rsidRPr="002C09A1">
        <w:rPr>
          <w:rFonts w:ascii="Arial" w:eastAsia="Arial" w:hAnsi="Arial" w:cs="Arial"/>
          <w:color w:val="000000"/>
          <w:sz w:val="20"/>
        </w:rPr>
        <w:t xml:space="preserve">DPR) Plan is available on the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web site </w:t>
      </w:r>
      <w:hyperlink r:id="rId8">
        <w:r w:rsidRPr="002C09A1">
          <w:rPr>
            <w:rFonts w:ascii="Arial" w:eastAsia="Arial" w:hAnsi="Arial" w:cs="Arial"/>
            <w:color w:val="0000FF"/>
            <w:sz w:val="20"/>
          </w:rPr>
          <w:t>www.medlogix.com</w:t>
        </w:r>
      </w:hyperlink>
      <w:r w:rsidRPr="002C09A1">
        <w:rPr>
          <w:rFonts w:ascii="Arial" w:eastAsia="Arial" w:hAnsi="Arial" w:cs="Arial"/>
          <w:color w:val="000000"/>
          <w:sz w:val="20"/>
        </w:rPr>
        <w:t xml:space="preserve"> or by contacting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 (877) 258-CERT (2378</w:t>
      </w:r>
      <w:r w:rsidR="002C09A1" w:rsidRPr="002C09A1">
        <w:rPr>
          <w:rFonts w:ascii="Arial" w:eastAsia="Arial" w:hAnsi="Arial" w:cs="Arial"/>
          <w:color w:val="000000"/>
          <w:sz w:val="20"/>
        </w:rPr>
        <w:t>).</w:t>
      </w:r>
      <w:r w:rsidR="002C09A1" w:rsidRPr="002C09A1">
        <w:rPr>
          <w:rFonts w:ascii="Arial" w:eastAsia="Arial" w:hAnsi="Arial" w:cs="Arial"/>
          <w:color w:val="000000"/>
          <w:sz w:val="20"/>
          <w:u w:val="single"/>
        </w:rPr>
        <w:t xml:space="preserve"> </w:t>
      </w:r>
    </w:p>
    <w:p w14:paraId="2E72B6CE" w14:textId="77777777" w:rsidR="00586313" w:rsidRPr="00D41EE7" w:rsidRDefault="00EF2F16">
      <w:pPr>
        <w:spacing w:before="221"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If your health care provider considers certain diagnostic testing to be medically necessary, this also requires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 xml:space="preserve">per N.J.A.C. 11:3-4, regardless of diagnosis. You or your health care provider must notify us by supplying written support establishing the need for the test before we can consider authorizing it. The list of diagnostic tests requiring prior authorization and a list of diagnostic tests which the law prohibits us from authorizing under any circumstances are shown below. If you or your health care provider fail to submit diagnostic testing requests for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or fail to submit clinically supported findings that support the treatment, diagnostic testing or durable medical equipment (DME) requested, payment of your bills may be subject to a penalty co-payment of 50%, even if the services are later determined to be medically necessary.</w:t>
      </w:r>
    </w:p>
    <w:p w14:paraId="01DBDAE0" w14:textId="77777777" w:rsidR="00586313" w:rsidRPr="00D41EE7" w:rsidRDefault="00EF2F16">
      <w:pPr>
        <w:spacing w:before="226" w:line="231" w:lineRule="exact"/>
        <w:textAlignment w:val="baseline"/>
        <w:rPr>
          <w:rFonts w:ascii="Arial" w:eastAsia="Arial" w:hAnsi="Arial" w:cs="Arial"/>
          <w:color w:val="000000"/>
          <w:sz w:val="20"/>
        </w:rPr>
      </w:pPr>
      <w:r w:rsidRPr="00D41EE7">
        <w:rPr>
          <w:rFonts w:ascii="Arial" w:eastAsia="Arial" w:hAnsi="Arial" w:cs="Arial"/>
          <w:color w:val="000000"/>
          <w:sz w:val="20"/>
        </w:rPr>
        <w:t xml:space="preserve">The following is a list of the specific diagnostic tests subject to </w:t>
      </w:r>
      <w:r w:rsidRPr="00D41EE7">
        <w:rPr>
          <w:rFonts w:ascii="Arial" w:eastAsia="Arial" w:hAnsi="Arial" w:cs="Arial"/>
          <w:b/>
          <w:color w:val="000000"/>
          <w:sz w:val="20"/>
        </w:rPr>
        <w:t>Decision Point Review</w:t>
      </w:r>
      <w:r w:rsidRPr="00D41EE7">
        <w:rPr>
          <w:rFonts w:ascii="Arial" w:eastAsia="Arial" w:hAnsi="Arial" w:cs="Arial"/>
          <w:color w:val="000000"/>
          <w:sz w:val="20"/>
        </w:rPr>
        <w:t>:</w:t>
      </w:r>
    </w:p>
    <w:p w14:paraId="6A687546" w14:textId="77777777" w:rsidR="00586313" w:rsidRPr="00D41EE7" w:rsidRDefault="00EF2F16">
      <w:pPr>
        <w:numPr>
          <w:ilvl w:val="0"/>
          <w:numId w:val="1"/>
        </w:numPr>
        <w:spacing w:before="248"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Mapping</w:t>
      </w:r>
    </w:p>
    <w:p w14:paraId="4467FD96"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Audio Evoked Potentials (BAEP)</w:t>
      </w:r>
    </w:p>
    <w:p w14:paraId="64783756"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Evoked Potentials (BEP)</w:t>
      </w:r>
    </w:p>
    <w:p w14:paraId="72EFC1E5" w14:textId="77777777" w:rsidR="00586313" w:rsidRPr="00D41EE7" w:rsidRDefault="00EF2F16">
      <w:pPr>
        <w:numPr>
          <w:ilvl w:val="0"/>
          <w:numId w:val="1"/>
        </w:numPr>
        <w:spacing w:before="13"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Computer Assisted Tomograms (CT, CAT Scan)</w:t>
      </w:r>
    </w:p>
    <w:p w14:paraId="72EE5E5B"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Dynatron/</w:t>
      </w:r>
      <w:proofErr w:type="spellStart"/>
      <w:r w:rsidRPr="00D41EE7">
        <w:rPr>
          <w:rFonts w:ascii="Arial" w:eastAsia="Arial" w:hAnsi="Arial" w:cs="Arial"/>
          <w:color w:val="000000"/>
          <w:sz w:val="20"/>
        </w:rPr>
        <w:t>cybex</w:t>
      </w:r>
      <w:proofErr w:type="spellEnd"/>
      <w:r w:rsidRPr="00D41EE7">
        <w:rPr>
          <w:rFonts w:ascii="Arial" w:eastAsia="Arial" w:hAnsi="Arial" w:cs="Arial"/>
          <w:color w:val="000000"/>
          <w:sz w:val="20"/>
        </w:rPr>
        <w:t xml:space="preserve"> station/</w:t>
      </w:r>
      <w:proofErr w:type="spellStart"/>
      <w:r w:rsidRPr="00D41EE7">
        <w:rPr>
          <w:rFonts w:ascii="Arial" w:eastAsia="Arial" w:hAnsi="Arial" w:cs="Arial"/>
          <w:color w:val="000000"/>
          <w:sz w:val="20"/>
        </w:rPr>
        <w:t>cybex</w:t>
      </w:r>
      <w:proofErr w:type="spellEnd"/>
      <w:r w:rsidRPr="00D41EE7">
        <w:rPr>
          <w:rFonts w:ascii="Arial" w:eastAsia="Arial" w:hAnsi="Arial" w:cs="Arial"/>
          <w:color w:val="000000"/>
          <w:sz w:val="20"/>
        </w:rPr>
        <w:t xml:space="preserve"> studies</w:t>
      </w:r>
    </w:p>
    <w:p w14:paraId="3DA6C61D"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proofErr w:type="spellStart"/>
      <w:r w:rsidRPr="00D41EE7">
        <w:rPr>
          <w:rFonts w:ascii="Arial" w:eastAsia="Arial" w:hAnsi="Arial" w:cs="Arial"/>
          <w:color w:val="000000"/>
          <w:sz w:val="20"/>
        </w:rPr>
        <w:t>Videofluoroscopy</w:t>
      </w:r>
      <w:proofErr w:type="spellEnd"/>
    </w:p>
    <w:p w14:paraId="420B2685"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H-Reflex Studies</w:t>
      </w:r>
    </w:p>
    <w:p w14:paraId="40D189F1"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Sonogram/Ultrasound</w:t>
      </w:r>
    </w:p>
    <w:p w14:paraId="41A5C349"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Needle Electromyography (needle EMG)</w:t>
      </w:r>
    </w:p>
    <w:p w14:paraId="0F418E1B"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Nerve Conduction Velocity (NCV)</w:t>
      </w:r>
    </w:p>
    <w:p w14:paraId="60F55954" w14:textId="77777777" w:rsidR="00586313" w:rsidRPr="00D41EE7" w:rsidRDefault="00EF2F16">
      <w:pPr>
        <w:numPr>
          <w:ilvl w:val="0"/>
          <w:numId w:val="1"/>
        </w:numPr>
        <w:spacing w:before="13"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Somatosensory Evoked Potential (SSEP)</w:t>
      </w:r>
    </w:p>
    <w:p w14:paraId="3F70DC35"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Magnetic Resonance Imaging (MRI)</w:t>
      </w:r>
    </w:p>
    <w:p w14:paraId="67BCBE49"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Electroencephalogram (EEG)</w:t>
      </w:r>
    </w:p>
    <w:p w14:paraId="4EDCD8FA"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Visual Evoked Potential (VEP)</w:t>
      </w:r>
    </w:p>
    <w:p w14:paraId="097CBC3A"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Thermogram/Thermography</w:t>
      </w:r>
    </w:p>
    <w:p w14:paraId="114DA28A" w14:textId="77777777" w:rsidR="00586313" w:rsidRPr="00D41EE7" w:rsidRDefault="00EF2F16">
      <w:pPr>
        <w:numPr>
          <w:ilvl w:val="0"/>
          <w:numId w:val="1"/>
        </w:numPr>
        <w:spacing w:before="13" w:line="231" w:lineRule="exact"/>
        <w:ind w:left="360" w:hanging="360"/>
        <w:jc w:val="both"/>
        <w:textAlignment w:val="baseline"/>
        <w:rPr>
          <w:rFonts w:ascii="Arial" w:eastAsia="Arial" w:hAnsi="Arial" w:cs="Arial"/>
          <w:color w:val="000000"/>
          <w:spacing w:val="1"/>
          <w:sz w:val="20"/>
        </w:rPr>
      </w:pPr>
      <w:r w:rsidRPr="00D41EE7">
        <w:rPr>
          <w:rFonts w:ascii="Arial" w:eastAsia="Arial" w:hAnsi="Arial" w:cs="Arial"/>
          <w:color w:val="000000"/>
          <w:spacing w:val="1"/>
          <w:sz w:val="20"/>
        </w:rPr>
        <w:t xml:space="preserve">Any other diagnostic test that is subject to the requirements of </w:t>
      </w:r>
      <w:r w:rsidRPr="00D41EE7">
        <w:rPr>
          <w:rFonts w:ascii="Arial" w:eastAsia="Arial" w:hAnsi="Arial" w:cs="Arial"/>
          <w:b/>
          <w:color w:val="000000"/>
          <w:spacing w:val="1"/>
          <w:sz w:val="20"/>
        </w:rPr>
        <w:t xml:space="preserve">Decision Point Review </w:t>
      </w:r>
      <w:r w:rsidRPr="00D41EE7">
        <w:rPr>
          <w:rFonts w:ascii="Arial" w:eastAsia="Arial" w:hAnsi="Arial" w:cs="Arial"/>
          <w:color w:val="000000"/>
          <w:spacing w:val="1"/>
          <w:sz w:val="20"/>
        </w:rPr>
        <w:t>by New Jersey law or regulation</w:t>
      </w:r>
    </w:p>
    <w:p w14:paraId="719A938E" w14:textId="77777777" w:rsidR="008C6D94" w:rsidRDefault="008C6D94">
      <w:pPr>
        <w:spacing w:line="221" w:lineRule="exact"/>
        <w:ind w:right="72"/>
        <w:jc w:val="both"/>
        <w:textAlignment w:val="baseline"/>
        <w:rPr>
          <w:rFonts w:ascii="Arial" w:eastAsia="Arial" w:hAnsi="Arial" w:cs="Arial"/>
          <w:color w:val="000000"/>
          <w:sz w:val="20"/>
        </w:rPr>
      </w:pPr>
    </w:p>
    <w:p w14:paraId="6A6134B6" w14:textId="2C87D246" w:rsidR="00586313" w:rsidRPr="00D41EE7" w:rsidRDefault="00EF2F16">
      <w:pPr>
        <w:spacing w:line="22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Personal injury protection medical expense benefits coverage shall not provide reimbursement for the following diagnostic tests, under any circumstances, pursuant to N.J.A.C. 11:3-4.5:</w:t>
      </w:r>
    </w:p>
    <w:p w14:paraId="2E302D3E"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z w:val="20"/>
        </w:rPr>
      </w:pPr>
      <w:r w:rsidRPr="00D41EE7">
        <w:rPr>
          <w:rFonts w:ascii="Arial" w:eastAsia="Arial" w:hAnsi="Arial" w:cs="Arial"/>
          <w:color w:val="000000"/>
          <w:sz w:val="20"/>
        </w:rPr>
        <w:t xml:space="preserve">Spinal diagnostic </w:t>
      </w:r>
      <w:proofErr w:type="gramStart"/>
      <w:r w:rsidRPr="00D41EE7">
        <w:rPr>
          <w:rFonts w:ascii="Arial" w:eastAsia="Arial" w:hAnsi="Arial" w:cs="Arial"/>
          <w:color w:val="000000"/>
          <w:sz w:val="20"/>
        </w:rPr>
        <w:t>ultrasound;</w:t>
      </w:r>
      <w:proofErr w:type="gramEnd"/>
    </w:p>
    <w:p w14:paraId="0944786C" w14:textId="77777777" w:rsidR="00586313" w:rsidRPr="00D41EE7" w:rsidRDefault="00EF2F16">
      <w:pPr>
        <w:numPr>
          <w:ilvl w:val="0"/>
          <w:numId w:val="2"/>
        </w:numPr>
        <w:tabs>
          <w:tab w:val="clear" w:pos="720"/>
          <w:tab w:val="left" w:pos="1440"/>
        </w:tabs>
        <w:spacing w:line="231" w:lineRule="exact"/>
        <w:ind w:left="720"/>
        <w:textAlignment w:val="baseline"/>
        <w:rPr>
          <w:rFonts w:ascii="Arial" w:eastAsia="Arial" w:hAnsi="Arial" w:cs="Arial"/>
          <w:color w:val="000000"/>
          <w:spacing w:val="-1"/>
          <w:sz w:val="20"/>
        </w:rPr>
      </w:pPr>
      <w:proofErr w:type="gramStart"/>
      <w:r w:rsidRPr="00D41EE7">
        <w:rPr>
          <w:rFonts w:ascii="Arial" w:eastAsia="Arial" w:hAnsi="Arial" w:cs="Arial"/>
          <w:color w:val="000000"/>
          <w:spacing w:val="-1"/>
          <w:sz w:val="20"/>
        </w:rPr>
        <w:t>Iridology;</w:t>
      </w:r>
      <w:proofErr w:type="gramEnd"/>
    </w:p>
    <w:p w14:paraId="22CC72FF"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pacing w:val="-1"/>
          <w:sz w:val="20"/>
        </w:rPr>
      </w:pPr>
      <w:proofErr w:type="gramStart"/>
      <w:r w:rsidRPr="00D41EE7">
        <w:rPr>
          <w:rFonts w:ascii="Arial" w:eastAsia="Arial" w:hAnsi="Arial" w:cs="Arial"/>
          <w:color w:val="000000"/>
          <w:spacing w:val="-1"/>
          <w:sz w:val="20"/>
        </w:rPr>
        <w:t>Reflexology;</w:t>
      </w:r>
      <w:proofErr w:type="gramEnd"/>
    </w:p>
    <w:p w14:paraId="1864571D"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z w:val="20"/>
        </w:rPr>
      </w:pPr>
      <w:r w:rsidRPr="00D41EE7">
        <w:rPr>
          <w:rFonts w:ascii="Arial" w:eastAsia="Arial" w:hAnsi="Arial" w:cs="Arial"/>
          <w:color w:val="000000"/>
          <w:sz w:val="20"/>
        </w:rPr>
        <w:t xml:space="preserve">Surrogate arm </w:t>
      </w:r>
      <w:proofErr w:type="gramStart"/>
      <w:r w:rsidRPr="00D41EE7">
        <w:rPr>
          <w:rFonts w:ascii="Arial" w:eastAsia="Arial" w:hAnsi="Arial" w:cs="Arial"/>
          <w:color w:val="000000"/>
          <w:sz w:val="20"/>
        </w:rPr>
        <w:t>mentoring;</w:t>
      </w:r>
      <w:proofErr w:type="gramEnd"/>
    </w:p>
    <w:p w14:paraId="5C6EA908" w14:textId="77777777" w:rsidR="00586313" w:rsidRPr="00D41EE7" w:rsidRDefault="00EF2F16">
      <w:pPr>
        <w:numPr>
          <w:ilvl w:val="0"/>
          <w:numId w:val="2"/>
        </w:numPr>
        <w:tabs>
          <w:tab w:val="clear" w:pos="720"/>
          <w:tab w:val="left" w:pos="1440"/>
        </w:tabs>
        <w:spacing w:line="231" w:lineRule="exact"/>
        <w:ind w:left="720"/>
        <w:textAlignment w:val="baseline"/>
        <w:rPr>
          <w:rFonts w:ascii="Arial" w:eastAsia="Arial" w:hAnsi="Arial" w:cs="Arial"/>
          <w:color w:val="000000"/>
          <w:sz w:val="20"/>
        </w:rPr>
      </w:pPr>
      <w:r w:rsidRPr="00D41EE7">
        <w:rPr>
          <w:rFonts w:ascii="Arial" w:eastAsia="Arial" w:hAnsi="Arial" w:cs="Arial"/>
          <w:color w:val="000000"/>
          <w:sz w:val="20"/>
        </w:rPr>
        <w:t>Surface electromyography (surface EMG</w:t>
      </w:r>
      <w:proofErr w:type="gramStart"/>
      <w:r w:rsidRPr="00D41EE7">
        <w:rPr>
          <w:rFonts w:ascii="Arial" w:eastAsia="Arial" w:hAnsi="Arial" w:cs="Arial"/>
          <w:color w:val="000000"/>
          <w:sz w:val="20"/>
        </w:rPr>
        <w:t>);</w:t>
      </w:r>
      <w:proofErr w:type="gramEnd"/>
    </w:p>
    <w:p w14:paraId="1C578C46" w14:textId="77777777" w:rsidR="00586313" w:rsidRPr="00D41EE7" w:rsidRDefault="00EF2F16">
      <w:pPr>
        <w:spacing w:before="201" w:line="273" w:lineRule="exact"/>
        <w:jc w:val="center"/>
        <w:textAlignment w:val="baseline"/>
        <w:rPr>
          <w:rFonts w:ascii="Arial" w:eastAsia="Times New Roman" w:hAnsi="Arial" w:cs="Arial"/>
          <w:color w:val="000000"/>
          <w:sz w:val="24"/>
        </w:rPr>
      </w:pPr>
      <w:r w:rsidRPr="00D41EE7">
        <w:rPr>
          <w:rFonts w:ascii="Arial" w:eastAsia="Times New Roman" w:hAnsi="Arial" w:cs="Arial"/>
          <w:color w:val="000000"/>
          <w:sz w:val="24"/>
        </w:rPr>
        <w:t>1</w:t>
      </w:r>
    </w:p>
    <w:p w14:paraId="65AD1046" w14:textId="77777777" w:rsidR="00586313" w:rsidRPr="00D41EE7" w:rsidRDefault="00586313">
      <w:pPr>
        <w:rPr>
          <w:rFonts w:ascii="Arial" w:hAnsi="Arial" w:cs="Arial"/>
        </w:rPr>
        <w:sectPr w:rsidR="00586313" w:rsidRPr="00D41EE7">
          <w:pgSz w:w="12240" w:h="15840"/>
          <w:pgMar w:top="720" w:right="680" w:bottom="304" w:left="720" w:header="720" w:footer="720" w:gutter="0"/>
          <w:cols w:space="720"/>
        </w:sectPr>
      </w:pPr>
    </w:p>
    <w:p w14:paraId="3B564C22" w14:textId="77777777" w:rsidR="00586313" w:rsidRPr="00D41EE7" w:rsidRDefault="00EF2F16">
      <w:pPr>
        <w:numPr>
          <w:ilvl w:val="0"/>
          <w:numId w:val="2"/>
        </w:numPr>
        <w:tabs>
          <w:tab w:val="clear" w:pos="720"/>
          <w:tab w:val="left" w:pos="1440"/>
        </w:tabs>
        <w:spacing w:line="229" w:lineRule="exact"/>
        <w:ind w:left="1440" w:hanging="720"/>
        <w:textAlignment w:val="baseline"/>
        <w:rPr>
          <w:rFonts w:ascii="Arial" w:eastAsia="Arial" w:hAnsi="Arial" w:cs="Arial"/>
          <w:color w:val="000000"/>
          <w:sz w:val="20"/>
        </w:rPr>
      </w:pPr>
      <w:r w:rsidRPr="00D41EE7">
        <w:rPr>
          <w:rFonts w:ascii="Arial" w:eastAsia="Arial" w:hAnsi="Arial" w:cs="Arial"/>
          <w:color w:val="000000"/>
          <w:sz w:val="20"/>
        </w:rPr>
        <w:lastRenderedPageBreak/>
        <w:t>Mandibular tracking and stimulation; and</w:t>
      </w:r>
    </w:p>
    <w:p w14:paraId="78B3941B" w14:textId="77777777" w:rsidR="00586313" w:rsidRPr="00D41EE7" w:rsidRDefault="00EF2F16">
      <w:pPr>
        <w:numPr>
          <w:ilvl w:val="0"/>
          <w:numId w:val="2"/>
        </w:numPr>
        <w:tabs>
          <w:tab w:val="clear" w:pos="720"/>
          <w:tab w:val="left" w:pos="1440"/>
        </w:tabs>
        <w:spacing w:before="3" w:line="229" w:lineRule="exact"/>
        <w:ind w:left="1440" w:hanging="720"/>
        <w:jc w:val="both"/>
        <w:textAlignment w:val="baseline"/>
        <w:rPr>
          <w:rFonts w:ascii="Arial" w:eastAsia="Arial" w:hAnsi="Arial" w:cs="Arial"/>
          <w:color w:val="000000"/>
          <w:sz w:val="20"/>
        </w:rPr>
      </w:pPr>
      <w:r w:rsidRPr="00D41EE7">
        <w:rPr>
          <w:rFonts w:ascii="Arial" w:eastAsia="Arial" w:hAnsi="Arial" w:cs="Arial"/>
          <w:color w:val="000000"/>
          <w:sz w:val="20"/>
        </w:rPr>
        <w:t>Any other diagnostic test that is determined by New Jersey law or regulation to be ineligible for Personal Injury Protection coverage.</w:t>
      </w:r>
    </w:p>
    <w:p w14:paraId="1C45D542" w14:textId="77777777" w:rsidR="00586313" w:rsidRPr="00D41EE7" w:rsidRDefault="00EF2F16">
      <w:pPr>
        <w:spacing w:before="228" w:line="221" w:lineRule="exact"/>
        <w:textAlignment w:val="baseline"/>
        <w:rPr>
          <w:rFonts w:ascii="Arial" w:eastAsia="Arial" w:hAnsi="Arial" w:cs="Arial"/>
          <w:b/>
          <w:color w:val="000000"/>
          <w:spacing w:val="-1"/>
          <w:sz w:val="20"/>
        </w:rPr>
      </w:pPr>
      <w:r w:rsidRPr="00D41EE7">
        <w:rPr>
          <w:rFonts w:ascii="Arial" w:eastAsia="Arial" w:hAnsi="Arial" w:cs="Arial"/>
          <w:b/>
          <w:color w:val="000000"/>
          <w:spacing w:val="-1"/>
          <w:sz w:val="20"/>
        </w:rPr>
        <w:t>PRECERTIFICATION:</w:t>
      </w:r>
    </w:p>
    <w:p w14:paraId="3E130BC9" w14:textId="77777777" w:rsidR="00586313" w:rsidRPr="00D41EE7" w:rsidRDefault="00EF2F16">
      <w:pPr>
        <w:spacing w:before="246" w:line="229" w:lineRule="exact"/>
        <w:jc w:val="both"/>
        <w:textAlignment w:val="baseline"/>
        <w:rPr>
          <w:rFonts w:ascii="Arial" w:eastAsia="Arial" w:hAnsi="Arial" w:cs="Arial"/>
          <w:color w:val="000000"/>
          <w:sz w:val="20"/>
        </w:rPr>
      </w:pPr>
      <w:r w:rsidRPr="00D41EE7">
        <w:rPr>
          <w:rFonts w:ascii="Arial" w:eastAsia="Arial" w:hAnsi="Arial" w:cs="Arial"/>
          <w:color w:val="000000"/>
          <w:sz w:val="20"/>
        </w:rPr>
        <w:t xml:space="preserve">For treatment, diagnostic testing or DME not included in the care paths or subject to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 xml:space="preserve">you or your health care provider are required to obtain our precertification for the following services and/or conditions listed below. If you or your providers fail to pre-certify such </w:t>
      </w:r>
      <w:proofErr w:type="gramStart"/>
      <w:r w:rsidRPr="00D41EE7">
        <w:rPr>
          <w:rFonts w:ascii="Arial" w:eastAsia="Arial" w:hAnsi="Arial" w:cs="Arial"/>
          <w:color w:val="000000"/>
          <w:sz w:val="20"/>
        </w:rPr>
        <w:t>services, or</w:t>
      </w:r>
      <w:proofErr w:type="gramEnd"/>
      <w:r w:rsidRPr="00D41EE7">
        <w:rPr>
          <w:rFonts w:ascii="Arial" w:eastAsia="Arial" w:hAnsi="Arial" w:cs="Arial"/>
          <w:color w:val="000000"/>
          <w:sz w:val="20"/>
        </w:rPr>
        <w:t xml:space="preserve"> fail to provide clinically supported findings that support the medical necessity of the treatment, services and/or condition, diagnostic tests or DME requested, payment of bills will be subject to a penalty co-payment of 50% even if the services are determined to be medically necessary. The following treatments, services and/or conditions, goods and non-medical expenses require precertification:</w:t>
      </w:r>
    </w:p>
    <w:p w14:paraId="7BB7EA71" w14:textId="77777777" w:rsidR="00586313" w:rsidRPr="00D41EE7" w:rsidRDefault="00EF2F16">
      <w:pPr>
        <w:numPr>
          <w:ilvl w:val="0"/>
          <w:numId w:val="1"/>
        </w:numPr>
        <w:tabs>
          <w:tab w:val="clear" w:pos="360"/>
          <w:tab w:val="left" w:pos="720"/>
        </w:tabs>
        <w:spacing w:before="29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Non-Emergency Inpatient and Outpatient Care </w:t>
      </w:r>
      <w:proofErr w:type="gramStart"/>
      <w:r w:rsidRPr="00D41EE7">
        <w:rPr>
          <w:rFonts w:ascii="Arial" w:eastAsia="Arial" w:hAnsi="Arial" w:cs="Arial"/>
          <w:color w:val="000000"/>
          <w:sz w:val="20"/>
        </w:rPr>
        <w:t>including</w:t>
      </w:r>
      <w:proofErr w:type="gramEnd"/>
      <w:r w:rsidRPr="00D41EE7">
        <w:rPr>
          <w:rFonts w:ascii="Arial" w:eastAsia="Arial" w:hAnsi="Arial" w:cs="Arial"/>
          <w:color w:val="000000"/>
          <w:sz w:val="20"/>
        </w:rPr>
        <w:t xml:space="preserve"> the facility where the services will be </w:t>
      </w:r>
      <w:proofErr w:type="gramStart"/>
      <w:r w:rsidRPr="00D41EE7">
        <w:rPr>
          <w:rFonts w:ascii="Arial" w:eastAsia="Arial" w:hAnsi="Arial" w:cs="Arial"/>
          <w:color w:val="000000"/>
          <w:sz w:val="20"/>
        </w:rPr>
        <w:t>rendered</w:t>
      </w:r>
      <w:proofErr w:type="gramEnd"/>
      <w:r w:rsidRPr="00D41EE7">
        <w:rPr>
          <w:rFonts w:ascii="Arial" w:eastAsia="Arial" w:hAnsi="Arial" w:cs="Arial"/>
          <w:color w:val="000000"/>
          <w:sz w:val="20"/>
        </w:rPr>
        <w:t xml:space="preserve"> and any provider services associated with these services and/or care.</w:t>
      </w:r>
    </w:p>
    <w:p w14:paraId="59A9FBBE" w14:textId="77777777" w:rsidR="00586313" w:rsidRPr="00D41EE7" w:rsidRDefault="00EF2F16">
      <w:pPr>
        <w:numPr>
          <w:ilvl w:val="0"/>
          <w:numId w:val="1"/>
        </w:numPr>
        <w:tabs>
          <w:tab w:val="clear" w:pos="360"/>
          <w:tab w:val="left" w:pos="720"/>
        </w:tabs>
        <w:spacing w:before="17"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surgical procedures, performed in a hospital, freestanding surgical center, office, etc., and any provider services associated with the surgical procedure.</w:t>
      </w:r>
    </w:p>
    <w:p w14:paraId="692B8A41"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inpatient and outpatient Psychological/Psychiatric Services</w:t>
      </w:r>
    </w:p>
    <w:p w14:paraId="4663BE79" w14:textId="77777777" w:rsidR="00586313" w:rsidRPr="00D41EE7" w:rsidRDefault="00EF2F16">
      <w:pPr>
        <w:numPr>
          <w:ilvl w:val="0"/>
          <w:numId w:val="1"/>
        </w:numPr>
        <w:tabs>
          <w:tab w:val="clear" w:pos="360"/>
          <w:tab w:val="left" w:pos="720"/>
        </w:tabs>
        <w:spacing w:before="12"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Outpatient care for soft tissue/disc injuries of the injured </w:t>
      </w:r>
      <w:proofErr w:type="spellStart"/>
      <w:r w:rsidRPr="00D41EE7">
        <w:rPr>
          <w:rFonts w:ascii="Arial" w:eastAsia="Arial" w:hAnsi="Arial" w:cs="Arial"/>
          <w:color w:val="000000"/>
          <w:sz w:val="20"/>
        </w:rPr>
        <w:t>party’s</w:t>
      </w:r>
      <w:proofErr w:type="spellEnd"/>
      <w:r w:rsidRPr="00D41EE7">
        <w:rPr>
          <w:rFonts w:ascii="Arial" w:eastAsia="Arial" w:hAnsi="Arial" w:cs="Arial"/>
          <w:color w:val="000000"/>
          <w:sz w:val="20"/>
        </w:rPr>
        <w:t>, neck, back and related structures not included within the diagnoses covered by the Care Path</w:t>
      </w:r>
    </w:p>
    <w:p w14:paraId="7B8F0025"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Extended Care and Rehabilitation Facilities</w:t>
      </w:r>
    </w:p>
    <w:p w14:paraId="380583A1"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All Home Health Care</w:t>
      </w:r>
    </w:p>
    <w:p w14:paraId="46977873"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Skilled Nursing Care</w:t>
      </w:r>
    </w:p>
    <w:p w14:paraId="3BF4C020"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Computerized muscle testing</w:t>
      </w:r>
    </w:p>
    <w:p w14:paraId="377B5821"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Cat Scan w/Myelogram</w:t>
      </w:r>
    </w:p>
    <w:p w14:paraId="11F0AEE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PENs/PNT</w:t>
      </w:r>
    </w:p>
    <w:p w14:paraId="597371C5"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Skilled Nursing / Rehabilitation Services</w:t>
      </w:r>
    </w:p>
    <w:p w14:paraId="3CE06AD5"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Trigger Point Dry Needling</w:t>
      </w:r>
    </w:p>
    <w:p w14:paraId="086F462C"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Compound Drugs</w:t>
      </w:r>
    </w:p>
    <w:p w14:paraId="2FE3C2D4"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Drug Screening</w:t>
      </w:r>
    </w:p>
    <w:p w14:paraId="4FB6055F" w14:textId="77777777" w:rsidR="00586313" w:rsidRPr="00D41EE7" w:rsidRDefault="00EF2F16">
      <w:pPr>
        <w:numPr>
          <w:ilvl w:val="0"/>
          <w:numId w:val="1"/>
        </w:numPr>
        <w:tabs>
          <w:tab w:val="clear" w:pos="360"/>
          <w:tab w:val="left" w:pos="720"/>
        </w:tabs>
        <w:spacing w:before="12" w:line="229" w:lineRule="exact"/>
        <w:ind w:left="720" w:right="288"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Schedule II, III and IV Controlled Substances, as defined by the Drug Enforcement Administration (DEA), when prescribed for more than three </w:t>
      </w:r>
      <w:proofErr w:type="gramStart"/>
      <w:r w:rsidRPr="00D41EE7">
        <w:rPr>
          <w:rFonts w:ascii="Arial" w:eastAsia="Arial" w:hAnsi="Arial" w:cs="Arial"/>
          <w:color w:val="000000"/>
          <w:sz w:val="20"/>
        </w:rPr>
        <w:t>months;</w:t>
      </w:r>
      <w:proofErr w:type="gramEnd"/>
    </w:p>
    <w:p w14:paraId="14F8FCDC"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Discogram</w:t>
      </w:r>
    </w:p>
    <w:p w14:paraId="2F093441"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Infusion Therapy</w:t>
      </w:r>
    </w:p>
    <w:p w14:paraId="0F265B29"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Current perceptual </w:t>
      </w:r>
      <w:proofErr w:type="gramStart"/>
      <w:r w:rsidRPr="00D41EE7">
        <w:rPr>
          <w:rFonts w:ascii="Arial" w:eastAsia="Arial" w:hAnsi="Arial" w:cs="Arial"/>
          <w:color w:val="000000"/>
          <w:sz w:val="20"/>
        </w:rPr>
        <w:t>testing;</w:t>
      </w:r>
      <w:proofErr w:type="gramEnd"/>
    </w:p>
    <w:p w14:paraId="4D83FA8D"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Temperature gradient </w:t>
      </w:r>
      <w:proofErr w:type="gramStart"/>
      <w:r w:rsidRPr="00D41EE7">
        <w:rPr>
          <w:rFonts w:ascii="Arial" w:eastAsia="Arial" w:hAnsi="Arial" w:cs="Arial"/>
          <w:color w:val="000000"/>
          <w:sz w:val="20"/>
        </w:rPr>
        <w:t>studies;</w:t>
      </w:r>
      <w:proofErr w:type="gramEnd"/>
    </w:p>
    <w:p w14:paraId="5B2FD813"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Work </w:t>
      </w:r>
      <w:proofErr w:type="gramStart"/>
      <w:r w:rsidRPr="00D41EE7">
        <w:rPr>
          <w:rFonts w:ascii="Arial" w:eastAsia="Arial" w:hAnsi="Arial" w:cs="Arial"/>
          <w:color w:val="000000"/>
          <w:sz w:val="20"/>
        </w:rPr>
        <w:t>hardening;</w:t>
      </w:r>
      <w:proofErr w:type="gramEnd"/>
    </w:p>
    <w:p w14:paraId="55813D79"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Carpal Tunnel </w:t>
      </w:r>
      <w:proofErr w:type="gramStart"/>
      <w:r w:rsidRPr="00D41EE7">
        <w:rPr>
          <w:rFonts w:ascii="Arial" w:eastAsia="Arial" w:hAnsi="Arial" w:cs="Arial"/>
          <w:color w:val="000000"/>
          <w:sz w:val="20"/>
        </w:rPr>
        <w:t>Syndrome;</w:t>
      </w:r>
      <w:proofErr w:type="gramEnd"/>
    </w:p>
    <w:p w14:paraId="5A202C5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Vax-D / DRX types </w:t>
      </w:r>
      <w:proofErr w:type="gramStart"/>
      <w:r w:rsidRPr="00D41EE7">
        <w:rPr>
          <w:rFonts w:ascii="Arial" w:eastAsia="Arial" w:hAnsi="Arial" w:cs="Arial"/>
          <w:color w:val="000000"/>
          <w:sz w:val="20"/>
        </w:rPr>
        <w:t>devices ;</w:t>
      </w:r>
      <w:proofErr w:type="gramEnd"/>
    </w:p>
    <w:p w14:paraId="1F52CAB9"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proofErr w:type="gramStart"/>
      <w:r w:rsidRPr="00D41EE7">
        <w:rPr>
          <w:rFonts w:ascii="Arial" w:eastAsia="Arial" w:hAnsi="Arial" w:cs="Arial"/>
          <w:color w:val="000000"/>
          <w:sz w:val="20"/>
        </w:rPr>
        <w:t>Podiatry;</w:t>
      </w:r>
      <w:proofErr w:type="gramEnd"/>
    </w:p>
    <w:p w14:paraId="4637D401"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proofErr w:type="gramStart"/>
      <w:r w:rsidRPr="00D41EE7">
        <w:rPr>
          <w:rFonts w:ascii="Arial" w:eastAsia="Arial" w:hAnsi="Arial" w:cs="Arial"/>
          <w:color w:val="000000"/>
          <w:sz w:val="20"/>
        </w:rPr>
        <w:t>Audiology;</w:t>
      </w:r>
      <w:proofErr w:type="gramEnd"/>
    </w:p>
    <w:p w14:paraId="66CCF810"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Bone Scans.</w:t>
      </w:r>
    </w:p>
    <w:p w14:paraId="60556583"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Dental Restoration</w:t>
      </w:r>
    </w:p>
    <w:p w14:paraId="47243B6A"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Prescriptions costing more than </w:t>
      </w:r>
      <w:proofErr w:type="gramStart"/>
      <w:r w:rsidRPr="00D41EE7">
        <w:rPr>
          <w:rFonts w:ascii="Arial" w:eastAsia="Arial" w:hAnsi="Arial" w:cs="Arial"/>
          <w:color w:val="000000"/>
          <w:sz w:val="20"/>
        </w:rPr>
        <w:t>$50.00;</w:t>
      </w:r>
      <w:proofErr w:type="gramEnd"/>
    </w:p>
    <w:p w14:paraId="54082FC4"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Treatment, testing and/or DME of Temporomandibular disorders and/or any oral facial </w:t>
      </w:r>
      <w:proofErr w:type="gramStart"/>
      <w:r w:rsidRPr="00D41EE7">
        <w:rPr>
          <w:rFonts w:ascii="Arial" w:eastAsia="Arial" w:hAnsi="Arial" w:cs="Arial"/>
          <w:color w:val="000000"/>
          <w:sz w:val="20"/>
        </w:rPr>
        <w:t>syndrome</w:t>
      </w:r>
      <w:proofErr w:type="gramEnd"/>
    </w:p>
    <w:p w14:paraId="591D5F5F"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Transportation Services costing more than </w:t>
      </w:r>
      <w:proofErr w:type="gramStart"/>
      <w:r w:rsidRPr="00D41EE7">
        <w:rPr>
          <w:rFonts w:ascii="Arial" w:eastAsia="Arial" w:hAnsi="Arial" w:cs="Arial"/>
          <w:color w:val="000000"/>
          <w:sz w:val="20"/>
        </w:rPr>
        <w:t>$50.00;</w:t>
      </w:r>
      <w:proofErr w:type="gramEnd"/>
    </w:p>
    <w:p w14:paraId="56E0B24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Any procedure that uses an unspecified CPT; CDT; DSM IV; HCPCS codes.</w:t>
      </w:r>
    </w:p>
    <w:p w14:paraId="0525184E" w14:textId="77777777" w:rsidR="00586313" w:rsidRPr="00D41EE7" w:rsidRDefault="00EF2F16">
      <w:pPr>
        <w:numPr>
          <w:ilvl w:val="0"/>
          <w:numId w:val="1"/>
        </w:numPr>
        <w:tabs>
          <w:tab w:val="clear" w:pos="360"/>
          <w:tab w:val="left" w:pos="720"/>
        </w:tabs>
        <w:spacing w:before="43" w:line="216"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DME, including orthotics and prosthetics that collectively exceed $50.00 cost and/or monthly rental greater than thirty (30) calendar days.</w:t>
      </w:r>
    </w:p>
    <w:p w14:paraId="7B222420" w14:textId="77777777" w:rsidR="00586313" w:rsidRPr="00D41EE7" w:rsidRDefault="00EF2F16">
      <w:pPr>
        <w:numPr>
          <w:ilvl w:val="0"/>
          <w:numId w:val="1"/>
        </w:numPr>
        <w:tabs>
          <w:tab w:val="clear" w:pos="360"/>
          <w:tab w:val="left" w:pos="720"/>
        </w:tabs>
        <w:spacing w:before="9"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Non-medical products, devices, services and activities and associated supplies, not exclusively used for medical purposes or as DME, with a cost of $50.00 and/or monthly rental greater than thirty (30) calendar days, including but not limited to:</w:t>
      </w:r>
    </w:p>
    <w:p w14:paraId="67D0DDE1" w14:textId="77777777" w:rsidR="00586313" w:rsidRPr="00D41EE7" w:rsidRDefault="00EF2F16">
      <w:pPr>
        <w:numPr>
          <w:ilvl w:val="0"/>
          <w:numId w:val="3"/>
        </w:numPr>
        <w:tabs>
          <w:tab w:val="clear" w:pos="720"/>
          <w:tab w:val="left" w:pos="2160"/>
        </w:tabs>
        <w:spacing w:before="232"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vehicles</w:t>
      </w:r>
    </w:p>
    <w:p w14:paraId="52DCDD20"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modification to vehicles</w:t>
      </w:r>
    </w:p>
    <w:p w14:paraId="7E1BED09" w14:textId="77777777" w:rsidR="00586313" w:rsidRPr="00D41EE7" w:rsidRDefault="00EF2F16">
      <w:pPr>
        <w:numPr>
          <w:ilvl w:val="0"/>
          <w:numId w:val="3"/>
        </w:numPr>
        <w:tabs>
          <w:tab w:val="clear" w:pos="720"/>
          <w:tab w:val="left" w:pos="2160"/>
        </w:tabs>
        <w:spacing w:before="2"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durable goods</w:t>
      </w:r>
    </w:p>
    <w:p w14:paraId="10617F5D"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furnishings</w:t>
      </w:r>
    </w:p>
    <w:p w14:paraId="075FC777" w14:textId="77777777" w:rsidR="00586313" w:rsidRPr="00D41EE7" w:rsidRDefault="00EF2F16">
      <w:pPr>
        <w:numPr>
          <w:ilvl w:val="0"/>
          <w:numId w:val="3"/>
        </w:numPr>
        <w:tabs>
          <w:tab w:val="clear" w:pos="720"/>
          <w:tab w:val="left" w:pos="2160"/>
        </w:tabs>
        <w:spacing w:line="226"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improvements or modifications to real or personal property</w:t>
      </w:r>
    </w:p>
    <w:p w14:paraId="0073C7F2"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fixtures</w:t>
      </w:r>
    </w:p>
    <w:p w14:paraId="74CA4CBA" w14:textId="77777777" w:rsidR="00586313" w:rsidRPr="00D41EE7" w:rsidRDefault="00EF2F16">
      <w:pPr>
        <w:spacing w:before="63" w:line="268" w:lineRule="exact"/>
        <w:jc w:val="center"/>
        <w:textAlignment w:val="baseline"/>
        <w:rPr>
          <w:rFonts w:ascii="Arial" w:eastAsia="Times New Roman" w:hAnsi="Arial" w:cs="Arial"/>
          <w:color w:val="000000"/>
          <w:sz w:val="24"/>
        </w:rPr>
      </w:pPr>
      <w:r w:rsidRPr="00D41EE7">
        <w:rPr>
          <w:rFonts w:ascii="Arial" w:eastAsia="Times New Roman" w:hAnsi="Arial" w:cs="Arial"/>
          <w:color w:val="000000"/>
          <w:sz w:val="24"/>
        </w:rPr>
        <w:t>2</w:t>
      </w:r>
    </w:p>
    <w:p w14:paraId="0FEE7628" w14:textId="77777777" w:rsidR="00586313" w:rsidRPr="00D41EE7" w:rsidRDefault="00586313">
      <w:pPr>
        <w:rPr>
          <w:rFonts w:ascii="Arial" w:hAnsi="Arial" w:cs="Arial"/>
        </w:rPr>
        <w:sectPr w:rsidR="00586313" w:rsidRPr="00D41EE7">
          <w:pgSz w:w="12240" w:h="15840"/>
          <w:pgMar w:top="720" w:right="693" w:bottom="344" w:left="707" w:header="720" w:footer="720" w:gutter="0"/>
          <w:cols w:space="720"/>
        </w:sectPr>
      </w:pPr>
    </w:p>
    <w:p w14:paraId="4A37A1D7" w14:textId="77777777" w:rsidR="00586313" w:rsidRPr="00D41EE7" w:rsidRDefault="00EF2F16">
      <w:pPr>
        <w:numPr>
          <w:ilvl w:val="0"/>
          <w:numId w:val="3"/>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lastRenderedPageBreak/>
        <w:t>recreational activities and trips</w:t>
      </w:r>
    </w:p>
    <w:p w14:paraId="53488F9E" w14:textId="77777777" w:rsidR="00586313" w:rsidRPr="00D41EE7" w:rsidRDefault="00EF2F16">
      <w:pPr>
        <w:numPr>
          <w:ilvl w:val="0"/>
          <w:numId w:val="3"/>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leisure activities and trips</w:t>
      </w:r>
    </w:p>
    <w:p w14:paraId="21BA8A6D" w14:textId="77777777" w:rsidR="00586313" w:rsidRPr="00D41EE7" w:rsidRDefault="00EF2F16">
      <w:pPr>
        <w:numPr>
          <w:ilvl w:val="0"/>
          <w:numId w:val="3"/>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spa/gym membership</w:t>
      </w:r>
    </w:p>
    <w:p w14:paraId="0C5D2BE7" w14:textId="77777777" w:rsidR="00586313" w:rsidRPr="00D41EE7" w:rsidRDefault="00EF2F16">
      <w:pPr>
        <w:numPr>
          <w:ilvl w:val="0"/>
          <w:numId w:val="1"/>
        </w:numPr>
        <w:tabs>
          <w:tab w:val="clear" w:pos="360"/>
          <w:tab w:val="left" w:pos="720"/>
        </w:tabs>
        <w:spacing w:before="249" w:line="226" w:lineRule="exact"/>
        <w:ind w:left="720" w:right="72" w:hanging="360"/>
        <w:textAlignment w:val="baseline"/>
        <w:rPr>
          <w:rFonts w:ascii="Arial" w:eastAsia="Arial" w:hAnsi="Arial" w:cs="Arial"/>
          <w:color w:val="000000"/>
          <w:sz w:val="20"/>
        </w:rPr>
      </w:pPr>
      <w:r w:rsidRPr="00D41EE7">
        <w:rPr>
          <w:rFonts w:ascii="Arial" w:eastAsia="Arial" w:hAnsi="Arial" w:cs="Arial"/>
          <w:color w:val="000000"/>
          <w:sz w:val="20"/>
        </w:rPr>
        <w:t xml:space="preserve">Physical, Occupational, Speech, Cognitive, or other restorative therapy or Body part manipulation, including massage therapy, except that provided for Identified Injuries in accordance with </w:t>
      </w:r>
      <w:r w:rsidRPr="00D41EE7">
        <w:rPr>
          <w:rFonts w:ascii="Arial" w:eastAsia="Arial" w:hAnsi="Arial" w:cs="Arial"/>
          <w:b/>
          <w:color w:val="000000"/>
          <w:sz w:val="20"/>
        </w:rPr>
        <w:t>Decision Point Review</w:t>
      </w:r>
      <w:r w:rsidRPr="00D41EE7">
        <w:rPr>
          <w:rFonts w:ascii="Arial" w:eastAsia="Arial" w:hAnsi="Arial" w:cs="Arial"/>
          <w:color w:val="000000"/>
          <w:sz w:val="20"/>
        </w:rPr>
        <w:t>.</w:t>
      </w:r>
    </w:p>
    <w:p w14:paraId="6D69E826" w14:textId="77777777" w:rsidR="00586313" w:rsidRPr="00D41EE7" w:rsidRDefault="00EF2F16">
      <w:pPr>
        <w:numPr>
          <w:ilvl w:val="0"/>
          <w:numId w:val="1"/>
        </w:numPr>
        <w:tabs>
          <w:tab w:val="clear" w:pos="360"/>
          <w:tab w:val="left" w:pos="720"/>
        </w:tabs>
        <w:spacing w:before="13" w:line="231" w:lineRule="exact"/>
        <w:ind w:left="720" w:right="72" w:hanging="360"/>
        <w:textAlignment w:val="baseline"/>
        <w:rPr>
          <w:rFonts w:ascii="Arial" w:eastAsia="Arial" w:hAnsi="Arial" w:cs="Arial"/>
          <w:color w:val="000000"/>
          <w:sz w:val="20"/>
        </w:rPr>
      </w:pPr>
      <w:r w:rsidRPr="00D41EE7">
        <w:rPr>
          <w:rFonts w:ascii="Arial" w:eastAsia="Arial" w:hAnsi="Arial" w:cs="Arial"/>
          <w:color w:val="000000"/>
          <w:sz w:val="20"/>
        </w:rPr>
        <w:t xml:space="preserve">All Pain Management services, except as provided for Identified Injuries in accordance with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including but not limited to:</w:t>
      </w:r>
    </w:p>
    <w:p w14:paraId="12FBF298" w14:textId="77777777" w:rsidR="00586313" w:rsidRPr="00D41EE7" w:rsidRDefault="00EF2F16">
      <w:pPr>
        <w:numPr>
          <w:ilvl w:val="0"/>
          <w:numId w:val="4"/>
        </w:numPr>
        <w:tabs>
          <w:tab w:val="clear" w:pos="720"/>
          <w:tab w:val="left" w:pos="2160"/>
        </w:tabs>
        <w:spacing w:before="254"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acupuncture</w:t>
      </w:r>
    </w:p>
    <w:p w14:paraId="66965D33"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nerve blocks</w:t>
      </w:r>
    </w:p>
    <w:p w14:paraId="31825F45"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manipulation under anesthesia</w:t>
      </w:r>
    </w:p>
    <w:p w14:paraId="718DA990"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 xml:space="preserve">anesthesia when performed in conjunction with invasive </w:t>
      </w:r>
      <w:proofErr w:type="gramStart"/>
      <w:r w:rsidRPr="00D41EE7">
        <w:rPr>
          <w:rFonts w:ascii="Arial" w:eastAsia="Arial" w:hAnsi="Arial" w:cs="Arial"/>
          <w:color w:val="000000"/>
          <w:sz w:val="20"/>
        </w:rPr>
        <w:t>techniques</w:t>
      </w:r>
      <w:proofErr w:type="gramEnd"/>
    </w:p>
    <w:p w14:paraId="62AEEECC"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radio frequency/</w:t>
      </w:r>
      <w:proofErr w:type="spellStart"/>
      <w:r w:rsidRPr="00D41EE7">
        <w:rPr>
          <w:rFonts w:ascii="Arial" w:eastAsia="Arial" w:hAnsi="Arial" w:cs="Arial"/>
          <w:color w:val="000000"/>
          <w:sz w:val="20"/>
        </w:rPr>
        <w:t>rhyzotomy</w:t>
      </w:r>
      <w:proofErr w:type="spellEnd"/>
    </w:p>
    <w:p w14:paraId="6C0C011E" w14:textId="77777777" w:rsidR="00586313" w:rsidRPr="00D41EE7" w:rsidRDefault="00EF2F16">
      <w:pPr>
        <w:numPr>
          <w:ilvl w:val="0"/>
          <w:numId w:val="4"/>
        </w:numPr>
        <w:tabs>
          <w:tab w:val="clear" w:pos="720"/>
          <w:tab w:val="left" w:pos="2160"/>
        </w:tabs>
        <w:spacing w:line="225" w:lineRule="exact"/>
        <w:ind w:left="1440"/>
        <w:textAlignment w:val="baseline"/>
        <w:rPr>
          <w:rFonts w:ascii="Arial" w:eastAsia="Arial" w:hAnsi="Arial" w:cs="Arial"/>
          <w:color w:val="000000"/>
          <w:sz w:val="20"/>
        </w:rPr>
      </w:pPr>
      <w:r w:rsidRPr="00D41EE7">
        <w:rPr>
          <w:rFonts w:ascii="Arial" w:eastAsia="Arial" w:hAnsi="Arial" w:cs="Arial"/>
          <w:color w:val="000000"/>
          <w:sz w:val="20"/>
        </w:rPr>
        <w:t xml:space="preserve">narcotics, when prescribed for more than 3 </w:t>
      </w:r>
      <w:proofErr w:type="gramStart"/>
      <w:r w:rsidRPr="00D41EE7">
        <w:rPr>
          <w:rFonts w:ascii="Arial" w:eastAsia="Arial" w:hAnsi="Arial" w:cs="Arial"/>
          <w:color w:val="000000"/>
          <w:sz w:val="20"/>
        </w:rPr>
        <w:t>months</w:t>
      </w:r>
      <w:proofErr w:type="gramEnd"/>
    </w:p>
    <w:p w14:paraId="2393C327"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biofeedback</w:t>
      </w:r>
    </w:p>
    <w:p w14:paraId="76B26E54"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implantation of spinal stimulators or spinal pumps</w:t>
      </w:r>
    </w:p>
    <w:p w14:paraId="363F9170"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trigger point injections</w:t>
      </w:r>
    </w:p>
    <w:p w14:paraId="3FBB5885"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tens units (transcutaneous electrical nerve stimulation)</w:t>
      </w:r>
    </w:p>
    <w:p w14:paraId="113FB033" w14:textId="77777777" w:rsidR="00586313" w:rsidRPr="00D41EE7" w:rsidRDefault="00EF2F16">
      <w:pPr>
        <w:numPr>
          <w:ilvl w:val="0"/>
          <w:numId w:val="4"/>
        </w:numPr>
        <w:tabs>
          <w:tab w:val="clear" w:pos="720"/>
          <w:tab w:val="left" w:pos="2160"/>
        </w:tabs>
        <w:spacing w:line="225" w:lineRule="exact"/>
        <w:ind w:left="1440"/>
        <w:textAlignment w:val="baseline"/>
        <w:rPr>
          <w:rFonts w:ascii="Arial" w:eastAsia="Arial" w:hAnsi="Arial" w:cs="Arial"/>
          <w:color w:val="000000"/>
          <w:sz w:val="20"/>
        </w:rPr>
      </w:pPr>
      <w:r w:rsidRPr="00D41EE7">
        <w:rPr>
          <w:rFonts w:ascii="Arial" w:eastAsia="Arial" w:hAnsi="Arial" w:cs="Arial"/>
          <w:color w:val="000000"/>
          <w:sz w:val="20"/>
        </w:rPr>
        <w:t>PENS (Percutaneous Electrical Nerve Stimulation)</w:t>
      </w:r>
    </w:p>
    <w:p w14:paraId="53574BC0" w14:textId="77777777" w:rsidR="00586313" w:rsidRPr="00D41EE7" w:rsidRDefault="00EF2F16">
      <w:pPr>
        <w:spacing w:before="228"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If your provider fails to request </w:t>
      </w:r>
      <w:r w:rsidRPr="00D41EE7">
        <w:rPr>
          <w:rFonts w:ascii="Arial" w:eastAsia="Arial" w:hAnsi="Arial" w:cs="Arial"/>
          <w:b/>
          <w:color w:val="000000"/>
          <w:sz w:val="20"/>
        </w:rPr>
        <w:t xml:space="preserve">decision point review / precertification </w:t>
      </w:r>
      <w:r w:rsidRPr="00D41EE7">
        <w:rPr>
          <w:rFonts w:ascii="Arial" w:eastAsia="Arial" w:hAnsi="Arial" w:cs="Arial"/>
          <w:color w:val="000000"/>
          <w:sz w:val="20"/>
        </w:rPr>
        <w:t>where required or fails to provide clinical findings that support the treatment, testing or DME requested a co-payment penalty of 50% will apply even if the services are determined to be medically necessary. For benefits to be reimbursed in full, treatment, testing and DME must be medically necessary.</w:t>
      </w:r>
    </w:p>
    <w:p w14:paraId="5701D991" w14:textId="77777777" w:rsidR="00586313" w:rsidRPr="00D41EE7" w:rsidRDefault="00EF2F16">
      <w:pPr>
        <w:spacing w:before="227" w:line="228" w:lineRule="exact"/>
        <w:textAlignment w:val="baseline"/>
        <w:rPr>
          <w:rFonts w:ascii="Arial" w:eastAsia="Arial" w:hAnsi="Arial" w:cs="Arial"/>
          <w:b/>
          <w:color w:val="000000"/>
          <w:sz w:val="20"/>
        </w:rPr>
      </w:pPr>
      <w:r w:rsidRPr="00D41EE7">
        <w:rPr>
          <w:rFonts w:ascii="Arial" w:eastAsia="Arial" w:hAnsi="Arial" w:cs="Arial"/>
          <w:b/>
          <w:color w:val="000000"/>
          <w:sz w:val="20"/>
        </w:rPr>
        <w:t>VOLUNTARY PRECERTIFICATION:</w:t>
      </w:r>
    </w:p>
    <w:p w14:paraId="7D048130" w14:textId="248DA46C" w:rsidR="00586313" w:rsidRPr="002C09A1" w:rsidRDefault="00EF2F16">
      <w:pPr>
        <w:spacing w:before="234"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You and your health care provider are encouraged to participate in a </w:t>
      </w:r>
      <w:r w:rsidRPr="002C09A1">
        <w:rPr>
          <w:rFonts w:ascii="Arial" w:eastAsia="Arial" w:hAnsi="Arial" w:cs="Arial"/>
          <w:color w:val="000000"/>
          <w:sz w:val="20"/>
        </w:rPr>
        <w:t xml:space="preserve">Voluntary Precertification process by providing a comprehensive treatment plan for both identified and other injuries to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An approved treatment plan means that as long as treatment is consistent with the approved plan, additional notification to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at </w:t>
      </w:r>
      <w:r w:rsidRPr="002C09A1">
        <w:rPr>
          <w:rFonts w:ascii="Arial" w:eastAsia="Arial" w:hAnsi="Arial" w:cs="Arial"/>
          <w:b/>
          <w:color w:val="000000"/>
          <w:sz w:val="20"/>
        </w:rPr>
        <w:t xml:space="preserve">Decision Points </w:t>
      </w:r>
      <w:r w:rsidRPr="002C09A1">
        <w:rPr>
          <w:rFonts w:ascii="Arial" w:eastAsia="Arial" w:hAnsi="Arial" w:cs="Arial"/>
          <w:color w:val="000000"/>
          <w:sz w:val="20"/>
        </w:rPr>
        <w:t xml:space="preserve">and for Treatment, Diagnostic Testing or DME requiring </w:t>
      </w:r>
      <w:r w:rsidRPr="002C09A1">
        <w:rPr>
          <w:rFonts w:ascii="Arial" w:eastAsia="Arial" w:hAnsi="Arial" w:cs="Arial"/>
          <w:b/>
          <w:color w:val="000000"/>
          <w:sz w:val="20"/>
        </w:rPr>
        <w:t xml:space="preserve">precertification </w:t>
      </w:r>
      <w:r w:rsidRPr="002C09A1">
        <w:rPr>
          <w:rFonts w:ascii="Arial" w:eastAsia="Arial" w:hAnsi="Arial" w:cs="Arial"/>
          <w:color w:val="000000"/>
          <w:sz w:val="20"/>
        </w:rPr>
        <w:t>is not required.</w:t>
      </w:r>
    </w:p>
    <w:p w14:paraId="30DD15C2" w14:textId="77777777" w:rsidR="00586313" w:rsidRPr="002C09A1" w:rsidRDefault="00EF2F16">
      <w:pPr>
        <w:spacing w:before="462" w:line="228" w:lineRule="exact"/>
        <w:textAlignment w:val="baseline"/>
        <w:rPr>
          <w:rFonts w:ascii="Arial" w:eastAsia="Arial" w:hAnsi="Arial" w:cs="Arial"/>
          <w:b/>
          <w:color w:val="000000"/>
          <w:sz w:val="20"/>
        </w:rPr>
      </w:pPr>
      <w:r w:rsidRPr="002C09A1">
        <w:rPr>
          <w:rFonts w:ascii="Arial" w:eastAsia="Arial" w:hAnsi="Arial" w:cs="Arial"/>
          <w:b/>
          <w:color w:val="000000"/>
          <w:sz w:val="20"/>
        </w:rPr>
        <w:t>HOW TO SUBMIT DECISION POINT and/or PRECERTIFICATION REQUESTS:</w:t>
      </w:r>
    </w:p>
    <w:p w14:paraId="2C988F1E" w14:textId="11A7FA61" w:rsidR="00586313" w:rsidRPr="002C09A1" w:rsidRDefault="00EF2F16">
      <w:pPr>
        <w:spacing w:before="231" w:line="231" w:lineRule="exact"/>
        <w:ind w:right="72"/>
        <w:jc w:val="both"/>
        <w:textAlignment w:val="baseline"/>
        <w:rPr>
          <w:rFonts w:ascii="Arial" w:eastAsia="Arial" w:hAnsi="Arial" w:cs="Arial"/>
          <w:b/>
          <w:color w:val="000000"/>
          <w:sz w:val="20"/>
        </w:rPr>
      </w:pPr>
      <w:r w:rsidRPr="002C09A1">
        <w:rPr>
          <w:rFonts w:ascii="Arial" w:eastAsia="Arial" w:hAnsi="Arial" w:cs="Arial"/>
          <w:b/>
          <w:color w:val="000000"/>
          <w:sz w:val="20"/>
        </w:rPr>
        <w:t xml:space="preserve">Decision Point / Precertification </w:t>
      </w:r>
      <w:r w:rsidRPr="002C09A1">
        <w:rPr>
          <w:rFonts w:ascii="Arial" w:eastAsia="Arial" w:hAnsi="Arial" w:cs="Arial"/>
          <w:color w:val="000000"/>
          <w:sz w:val="20"/>
        </w:rPr>
        <w:t xml:space="preserve">requests must be submitted directly to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and should be submitted by fax </w:t>
      </w:r>
      <w:proofErr w:type="gramStart"/>
      <w:r w:rsidRPr="002C09A1">
        <w:rPr>
          <w:rFonts w:ascii="Arial" w:eastAsia="Arial" w:hAnsi="Arial" w:cs="Arial"/>
          <w:color w:val="000000"/>
          <w:sz w:val="20"/>
        </w:rPr>
        <w:t>at [(</w:t>
      </w:r>
      <w:proofErr w:type="gramEnd"/>
      <w:r w:rsidRPr="002C09A1">
        <w:rPr>
          <w:rFonts w:ascii="Arial" w:eastAsia="Arial" w:hAnsi="Arial" w:cs="Arial"/>
          <w:color w:val="000000"/>
          <w:sz w:val="20"/>
        </w:rPr>
        <w:t>856) 910-2501</w:t>
      </w:r>
      <w:r w:rsidR="002C09A1" w:rsidRPr="002C09A1">
        <w:rPr>
          <w:rFonts w:ascii="Arial" w:eastAsia="Arial" w:hAnsi="Arial" w:cs="Arial"/>
          <w:color w:val="000000"/>
          <w:sz w:val="20"/>
        </w:rPr>
        <w:t>.</w:t>
      </w:r>
    </w:p>
    <w:p w14:paraId="54F93BD9" w14:textId="6D5EDC5C" w:rsidR="00586313" w:rsidRPr="002C09A1" w:rsidRDefault="00EF2F16">
      <w:pPr>
        <w:spacing w:before="225" w:line="231" w:lineRule="exact"/>
        <w:textAlignment w:val="baseline"/>
        <w:rPr>
          <w:rFonts w:ascii="Arial" w:eastAsia="Arial" w:hAnsi="Arial" w:cs="Arial"/>
          <w:color w:val="000000"/>
          <w:sz w:val="20"/>
        </w:rPr>
      </w:pPr>
      <w:r w:rsidRPr="002C09A1">
        <w:rPr>
          <w:rFonts w:ascii="Arial" w:eastAsia="Arial" w:hAnsi="Arial" w:cs="Arial"/>
          <w:color w:val="000000"/>
          <w:sz w:val="20"/>
        </w:rPr>
        <w:t xml:space="preserve">You may also submit your requests to </w:t>
      </w: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at the following address:</w:t>
      </w:r>
    </w:p>
    <w:p w14:paraId="7879CB1F" w14:textId="6788E88E" w:rsidR="00586313" w:rsidRPr="002C09A1" w:rsidRDefault="00EF2F16">
      <w:pPr>
        <w:spacing w:before="225" w:line="231" w:lineRule="exact"/>
        <w:jc w:val="center"/>
        <w:textAlignment w:val="baseline"/>
        <w:rPr>
          <w:rFonts w:ascii="Arial" w:eastAsia="Arial" w:hAnsi="Arial" w:cs="Arial"/>
          <w:color w:val="000000"/>
          <w:sz w:val="20"/>
        </w:rPr>
      </w:pP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LLC</w:t>
      </w:r>
    </w:p>
    <w:p w14:paraId="0448F4A4" w14:textId="57753C25" w:rsidR="00586313" w:rsidRPr="002C09A1" w:rsidRDefault="00EF2F16" w:rsidP="002C09A1">
      <w:pPr>
        <w:spacing w:line="230" w:lineRule="exact"/>
        <w:jc w:val="center"/>
        <w:textAlignment w:val="baseline"/>
        <w:rPr>
          <w:rFonts w:ascii="Arial" w:eastAsia="Arial" w:hAnsi="Arial" w:cs="Arial"/>
          <w:strike/>
          <w:color w:val="000000"/>
          <w:spacing w:val="-1"/>
          <w:sz w:val="20"/>
        </w:rPr>
      </w:pPr>
      <w:r w:rsidRPr="002C09A1">
        <w:rPr>
          <w:rFonts w:ascii="Arial" w:eastAsia="Arial" w:hAnsi="Arial" w:cs="Arial"/>
          <w:color w:val="000000"/>
          <w:sz w:val="20"/>
        </w:rPr>
        <w:t xml:space="preserve">300 American Metro Blvd, Ste. 220, Hamilton, NJ 08619 </w:t>
      </w:r>
    </w:p>
    <w:p w14:paraId="7DDDF923" w14:textId="5FAFA3DF" w:rsidR="00586313" w:rsidRPr="00D41EE7" w:rsidRDefault="00EF2F16">
      <w:pPr>
        <w:spacing w:before="228" w:line="231" w:lineRule="exact"/>
        <w:ind w:right="72"/>
        <w:jc w:val="both"/>
        <w:textAlignment w:val="baseline"/>
        <w:rPr>
          <w:rFonts w:ascii="Arial" w:eastAsia="Arial" w:hAnsi="Arial" w:cs="Arial"/>
          <w:color w:val="000000"/>
          <w:sz w:val="20"/>
        </w:rPr>
      </w:pPr>
      <w:proofErr w:type="spellStart"/>
      <w:r w:rsidRPr="002C09A1">
        <w:rPr>
          <w:rFonts w:ascii="Arial" w:eastAsia="Arial" w:hAnsi="Arial" w:cs="Arial"/>
          <w:color w:val="000000"/>
          <w:sz w:val="20"/>
        </w:rPr>
        <w:t>Medlogix</w:t>
      </w:r>
      <w:proofErr w:type="spellEnd"/>
      <w:r w:rsidRPr="002C09A1">
        <w:rPr>
          <w:rFonts w:ascii="Arial" w:eastAsia="Arial" w:hAnsi="Arial" w:cs="Arial"/>
          <w:color w:val="000000"/>
          <w:sz w:val="20"/>
        </w:rPr>
        <w:t xml:space="preserve"> Hours of Operation – 7:00 AM to 7:00 PM EST Monday through Friday (excluding legal holidays</w:t>
      </w:r>
      <w:r w:rsidR="002C09A1" w:rsidRPr="002C09A1">
        <w:rPr>
          <w:rFonts w:ascii="Arial" w:eastAsia="Arial" w:hAnsi="Arial" w:cs="Arial"/>
          <w:color w:val="000000"/>
          <w:sz w:val="20"/>
        </w:rPr>
        <w:t>).</w:t>
      </w:r>
      <w:r w:rsidRPr="002C09A1">
        <w:rPr>
          <w:rFonts w:ascii="Arial" w:eastAsia="Arial" w:hAnsi="Arial" w:cs="Arial"/>
          <w:color w:val="000000"/>
          <w:sz w:val="20"/>
        </w:rPr>
        <w:t xml:space="preserve"> </w:t>
      </w:r>
      <w:r w:rsidRPr="00D41EE7">
        <w:rPr>
          <w:rFonts w:ascii="Arial" w:eastAsia="Arial" w:hAnsi="Arial" w:cs="Arial"/>
          <w:color w:val="000000"/>
          <w:sz w:val="20"/>
        </w:rPr>
        <w:t>All requests for pre-authorization received on weekends and /or Federal and/or NJ State holidays will be handled on the next business day.</w:t>
      </w:r>
    </w:p>
    <w:p w14:paraId="47ABB172" w14:textId="77777777" w:rsidR="00586313" w:rsidRPr="00D41EE7" w:rsidRDefault="00EF2F16">
      <w:pPr>
        <w:spacing w:before="231" w:line="228" w:lineRule="exact"/>
        <w:textAlignment w:val="baseline"/>
        <w:rPr>
          <w:rFonts w:ascii="Arial" w:eastAsia="Arial" w:hAnsi="Arial" w:cs="Arial"/>
          <w:b/>
          <w:color w:val="000000"/>
          <w:sz w:val="20"/>
        </w:rPr>
      </w:pPr>
      <w:r w:rsidRPr="00D41EE7">
        <w:rPr>
          <w:rFonts w:ascii="Arial" w:eastAsia="Arial" w:hAnsi="Arial" w:cs="Arial"/>
          <w:b/>
          <w:color w:val="000000"/>
          <w:sz w:val="20"/>
        </w:rPr>
        <w:t>Properly Submitted Requests</w:t>
      </w:r>
    </w:p>
    <w:p w14:paraId="7BC068BB" w14:textId="375CF2E6" w:rsidR="00586313" w:rsidRDefault="00EF2F16" w:rsidP="002C09A1">
      <w:pPr>
        <w:spacing w:before="277" w:after="455" w:line="231" w:lineRule="exact"/>
        <w:ind w:right="72"/>
        <w:textAlignment w:val="baseline"/>
        <w:sectPr w:rsidR="00586313">
          <w:pgSz w:w="12240" w:h="15840"/>
          <w:pgMar w:top="720" w:right="673" w:bottom="324" w:left="711" w:header="720" w:footer="720" w:gutter="0"/>
          <w:cols w:space="720"/>
        </w:sectPr>
      </w:pPr>
      <w:r w:rsidRPr="00D41EE7">
        <w:rPr>
          <w:rFonts w:ascii="Arial" w:eastAsia="Arial" w:hAnsi="Arial" w:cs="Arial"/>
          <w:sz w:val="20"/>
          <w:szCs w:val="20"/>
        </w:rPr>
        <w:t xml:space="preserve">Pursuant to N.J.A.C. 11:3-4.7(d), all providers must use the Attending Provider Treatment Plan (APTP) form, to submit </w:t>
      </w:r>
      <w:r w:rsidRPr="00D41EE7">
        <w:rPr>
          <w:rFonts w:ascii="Arial" w:eastAsia="Arial" w:hAnsi="Arial" w:cs="Arial"/>
          <w:b/>
          <w:sz w:val="20"/>
          <w:szCs w:val="20"/>
        </w:rPr>
        <w:t>Decision Point Review a</w:t>
      </w:r>
      <w:hyperlink r:id="rId9">
        <w:r w:rsidRPr="00D41EE7">
          <w:rPr>
            <w:rFonts w:ascii="Arial" w:eastAsia="Arial" w:hAnsi="Arial" w:cs="Arial"/>
            <w:b/>
            <w:sz w:val="20"/>
            <w:szCs w:val="20"/>
          </w:rPr>
          <w:t xml:space="preserve">nd Precertification </w:t>
        </w:r>
      </w:hyperlink>
      <w:hyperlink r:id="rId10">
        <w:r w:rsidRPr="00D41EE7">
          <w:rPr>
            <w:rFonts w:ascii="Arial" w:eastAsia="Arial" w:hAnsi="Arial" w:cs="Arial"/>
            <w:sz w:val="20"/>
            <w:szCs w:val="20"/>
          </w:rPr>
          <w:t xml:space="preserve">Requests. No </w:t>
        </w:r>
      </w:hyperlink>
      <w:r w:rsidRPr="00D41EE7">
        <w:rPr>
          <w:rFonts w:ascii="Arial" w:eastAsia="Arial" w:hAnsi="Arial" w:cs="Arial"/>
          <w:sz w:val="20"/>
          <w:szCs w:val="20"/>
        </w:rPr>
        <w:t xml:space="preserve"> other forms for this purpose are permitted. A copy of the APTP form is available at </w:t>
      </w:r>
      <w:hyperlink r:id="rId11">
        <w:r w:rsidRPr="00D41EE7">
          <w:rPr>
            <w:rFonts w:ascii="Arial" w:eastAsia="Arial" w:hAnsi="Arial" w:cs="Arial"/>
            <w:sz w:val="20"/>
            <w:szCs w:val="20"/>
            <w:u w:val="single"/>
          </w:rPr>
          <w:t>http://www.nj.gov/dobi/aicrapg.htm</w:t>
        </w:r>
      </w:hyperlink>
      <w:r w:rsidRPr="00D41EE7">
        <w:rPr>
          <w:rFonts w:ascii="Arial" w:eastAsia="Arial" w:hAnsi="Arial" w:cs="Arial"/>
          <w:sz w:val="20"/>
          <w:szCs w:val="20"/>
        </w:rPr>
        <w:t xml:space="preserve"> or by </w:t>
      </w:r>
      <w:r w:rsidRPr="002C09A1">
        <w:rPr>
          <w:rFonts w:ascii="Arial" w:eastAsia="Arial" w:hAnsi="Arial" w:cs="Arial"/>
          <w:sz w:val="20"/>
          <w:szCs w:val="20"/>
        </w:rPr>
        <w:t xml:space="preserve">contacting </w:t>
      </w:r>
      <w:proofErr w:type="spellStart"/>
      <w:r w:rsidRPr="002C09A1">
        <w:rPr>
          <w:rFonts w:ascii="Arial" w:eastAsia="Arial" w:hAnsi="Arial" w:cs="Arial"/>
          <w:sz w:val="20"/>
          <w:szCs w:val="20"/>
        </w:rPr>
        <w:t>Medl</w:t>
      </w:r>
      <w:r w:rsidR="00D41EE7" w:rsidRPr="002C09A1">
        <w:rPr>
          <w:rFonts w:ascii="Arial" w:eastAsia="Arial" w:hAnsi="Arial" w:cs="Arial"/>
          <w:sz w:val="20"/>
          <w:szCs w:val="20"/>
        </w:rPr>
        <w:t>ogix</w:t>
      </w:r>
      <w:proofErr w:type="spellEnd"/>
      <w:r w:rsidR="00D41EE7" w:rsidRPr="002C09A1">
        <w:rPr>
          <w:rFonts w:ascii="Arial" w:eastAsia="Arial" w:hAnsi="Arial" w:cs="Arial"/>
          <w:sz w:val="20"/>
          <w:szCs w:val="20"/>
        </w:rPr>
        <w:t xml:space="preserve"> at (877) 258-CERT (2378)</w:t>
      </w:r>
      <w:r w:rsidR="002C09A1" w:rsidRPr="002C09A1">
        <w:rPr>
          <w:rFonts w:ascii="Arial" w:eastAsia="Arial" w:hAnsi="Arial" w:cs="Arial"/>
          <w:sz w:val="20"/>
          <w:szCs w:val="20"/>
        </w:rPr>
        <w:t>.</w:t>
      </w:r>
      <w:r w:rsidR="00D41EE7" w:rsidRPr="002C09A1">
        <w:rPr>
          <w:rFonts w:ascii="Arial" w:eastAsia="Arial" w:hAnsi="Arial" w:cs="Arial"/>
          <w:sz w:val="20"/>
          <w:szCs w:val="20"/>
        </w:rPr>
        <w:t xml:space="preserve"> </w:t>
      </w:r>
    </w:p>
    <w:p w14:paraId="1F7ED448" w14:textId="77777777" w:rsidR="00586313" w:rsidRDefault="00EF2F16">
      <w:pPr>
        <w:spacing w:line="265" w:lineRule="exact"/>
        <w:jc w:val="center"/>
        <w:textAlignment w:val="baseline"/>
        <w:rPr>
          <w:rFonts w:eastAsia="Times New Roman"/>
          <w:color w:val="000000"/>
          <w:sz w:val="24"/>
        </w:rPr>
      </w:pPr>
      <w:r>
        <w:rPr>
          <w:rFonts w:eastAsia="Times New Roman"/>
          <w:color w:val="000000"/>
          <w:sz w:val="24"/>
        </w:rPr>
        <w:t>3</w:t>
      </w:r>
    </w:p>
    <w:p w14:paraId="5FA29BDB" w14:textId="77777777" w:rsidR="00586313" w:rsidRDefault="00586313">
      <w:pPr>
        <w:sectPr w:rsidR="00586313">
          <w:type w:val="continuous"/>
          <w:pgSz w:w="12240" w:h="15840"/>
          <w:pgMar w:top="720" w:right="700" w:bottom="324" w:left="700" w:header="720" w:footer="720" w:gutter="0"/>
          <w:cols w:space="720"/>
        </w:sectPr>
      </w:pPr>
    </w:p>
    <w:p w14:paraId="7C420842" w14:textId="77777777" w:rsidR="00586313" w:rsidRDefault="00EF2F16">
      <w:pPr>
        <w:spacing w:line="230" w:lineRule="exact"/>
        <w:jc w:val="both"/>
        <w:textAlignment w:val="baseline"/>
        <w:rPr>
          <w:rFonts w:ascii="Arial" w:eastAsia="Arial" w:hAnsi="Arial"/>
          <w:color w:val="000000"/>
          <w:sz w:val="20"/>
        </w:rPr>
      </w:pPr>
      <w:r>
        <w:rPr>
          <w:rFonts w:ascii="Arial" w:eastAsia="Arial" w:hAnsi="Arial"/>
          <w:color w:val="000000"/>
          <w:sz w:val="20"/>
        </w:rPr>
        <w:lastRenderedPageBreak/>
        <w:t>A properly submitted APTP form must be completed in its entirety. It must include the injured person’s full name and birth date, the claim number, the date of the accident, diagnoses / ICD-9 or ICD-10 code(s), each CPT code requested including frequency and duration.</w:t>
      </w:r>
    </w:p>
    <w:p w14:paraId="0C43B4CE" w14:textId="56C27805" w:rsidR="00586313" w:rsidRDefault="00EF2F16">
      <w:pPr>
        <w:spacing w:before="224" w:line="232" w:lineRule="exact"/>
        <w:jc w:val="both"/>
        <w:textAlignment w:val="baseline"/>
        <w:rPr>
          <w:rFonts w:ascii="Arial" w:eastAsia="Arial" w:hAnsi="Arial"/>
          <w:color w:val="000000"/>
          <w:sz w:val="20"/>
        </w:rPr>
      </w:pPr>
      <w:r>
        <w:rPr>
          <w:rFonts w:ascii="Arial" w:eastAsia="Arial" w:hAnsi="Arial"/>
          <w:color w:val="000000"/>
          <w:sz w:val="20"/>
        </w:rPr>
        <w:t xml:space="preserve">Properly submitted requests for </w:t>
      </w:r>
      <w:r>
        <w:rPr>
          <w:rFonts w:ascii="Arial" w:eastAsia="Arial" w:hAnsi="Arial"/>
          <w:b/>
          <w:color w:val="000000"/>
          <w:sz w:val="20"/>
        </w:rPr>
        <w:t xml:space="preserve">decision point review and precertification </w:t>
      </w:r>
      <w:r>
        <w:rPr>
          <w:rFonts w:ascii="Arial" w:eastAsia="Arial" w:hAnsi="Arial"/>
          <w:color w:val="000000"/>
          <w:sz w:val="20"/>
        </w:rPr>
        <w:t xml:space="preserve">must also include legible clinically supported findings that support the treatment, diagnostic test or DME requested. Clinically supported findings, supplied to </w:t>
      </w:r>
      <w:proofErr w:type="spellStart"/>
      <w:r w:rsidR="00013757" w:rsidRPr="002C09A1">
        <w:rPr>
          <w:rFonts w:ascii="Arial" w:eastAsia="Arial" w:hAnsi="Arial"/>
          <w:color w:val="000000"/>
          <w:sz w:val="20"/>
        </w:rPr>
        <w:t>Medlogix</w:t>
      </w:r>
      <w:proofErr w:type="spellEnd"/>
      <w:r w:rsidRPr="002C09A1">
        <w:rPr>
          <w:rFonts w:ascii="Arial" w:eastAsia="Arial" w:hAnsi="Arial"/>
          <w:color w:val="000000"/>
          <w:sz w:val="20"/>
        </w:rPr>
        <w:t xml:space="preserve">, must not only be legible but also establish that a health care provider, prior to selecting, performing or ordering the </w:t>
      </w:r>
      <w:r>
        <w:rPr>
          <w:rFonts w:ascii="Arial" w:eastAsia="Arial" w:hAnsi="Arial"/>
          <w:color w:val="000000"/>
          <w:sz w:val="20"/>
        </w:rPr>
        <w:t>administration of a treatment, diagnostic testing or DME, has:</w:t>
      </w:r>
    </w:p>
    <w:p w14:paraId="1C7BFACF" w14:textId="77777777" w:rsidR="00586313" w:rsidRDefault="00EF2F16">
      <w:pPr>
        <w:numPr>
          <w:ilvl w:val="0"/>
          <w:numId w:val="5"/>
        </w:numPr>
        <w:tabs>
          <w:tab w:val="clear" w:pos="216"/>
          <w:tab w:val="left" w:pos="1008"/>
        </w:tabs>
        <w:spacing w:before="225" w:line="231" w:lineRule="exact"/>
        <w:ind w:left="792"/>
        <w:jc w:val="both"/>
        <w:textAlignment w:val="baseline"/>
        <w:rPr>
          <w:rFonts w:ascii="Arial" w:eastAsia="Arial" w:hAnsi="Arial"/>
          <w:color w:val="000000"/>
          <w:sz w:val="20"/>
        </w:rPr>
      </w:pPr>
      <w:proofErr w:type="gramStart"/>
      <w:r>
        <w:rPr>
          <w:rFonts w:ascii="Arial" w:eastAsia="Arial" w:hAnsi="Arial"/>
          <w:color w:val="000000"/>
          <w:sz w:val="20"/>
        </w:rPr>
        <w:t>Personally</w:t>
      </w:r>
      <w:proofErr w:type="gramEnd"/>
      <w:r>
        <w:rPr>
          <w:rFonts w:ascii="Arial" w:eastAsia="Arial" w:hAnsi="Arial"/>
          <w:color w:val="000000"/>
          <w:sz w:val="20"/>
        </w:rPr>
        <w:t xml:space="preserve"> examined the patient to ensure that the proper medical indications exist to justify ordering the treatment, diagnostic testing or DME;</w:t>
      </w:r>
    </w:p>
    <w:p w14:paraId="5B51A4F9" w14:textId="77777777" w:rsidR="00586313" w:rsidRDefault="00EF2F16">
      <w:pPr>
        <w:numPr>
          <w:ilvl w:val="0"/>
          <w:numId w:val="5"/>
        </w:numPr>
        <w:tabs>
          <w:tab w:val="clear" w:pos="216"/>
          <w:tab w:val="left" w:pos="1008"/>
        </w:tabs>
        <w:spacing w:before="229" w:line="231" w:lineRule="exact"/>
        <w:ind w:left="792"/>
        <w:jc w:val="both"/>
        <w:textAlignment w:val="baseline"/>
        <w:rPr>
          <w:rFonts w:ascii="Arial" w:eastAsia="Arial" w:hAnsi="Arial"/>
          <w:color w:val="000000"/>
          <w:sz w:val="20"/>
        </w:rPr>
      </w:pPr>
      <w:r>
        <w:rPr>
          <w:rFonts w:ascii="Arial" w:eastAsia="Arial" w:hAnsi="Arial"/>
          <w:color w:val="000000"/>
          <w:sz w:val="20"/>
        </w:rPr>
        <w:t xml:space="preserve">Physically examined the patient, including making an assessment of any current and/or historical subjective complaints, observations, objective findings, neurologic indications and physical </w:t>
      </w:r>
      <w:proofErr w:type="gramStart"/>
      <w:r>
        <w:rPr>
          <w:rFonts w:ascii="Arial" w:eastAsia="Arial" w:hAnsi="Arial"/>
          <w:color w:val="000000"/>
          <w:sz w:val="20"/>
        </w:rPr>
        <w:t>tests;</w:t>
      </w:r>
      <w:proofErr w:type="gramEnd"/>
    </w:p>
    <w:p w14:paraId="6632D320" w14:textId="77777777" w:rsidR="00586313" w:rsidRDefault="00EF2F16">
      <w:pPr>
        <w:numPr>
          <w:ilvl w:val="0"/>
          <w:numId w:val="5"/>
        </w:numPr>
        <w:tabs>
          <w:tab w:val="clear" w:pos="216"/>
          <w:tab w:val="left" w:pos="1008"/>
        </w:tabs>
        <w:spacing w:before="231" w:line="230" w:lineRule="exact"/>
        <w:ind w:left="792"/>
        <w:jc w:val="both"/>
        <w:textAlignment w:val="baseline"/>
        <w:rPr>
          <w:rFonts w:ascii="Arial" w:eastAsia="Arial" w:hAnsi="Arial"/>
          <w:color w:val="000000"/>
          <w:sz w:val="20"/>
        </w:rPr>
      </w:pPr>
      <w:r>
        <w:rPr>
          <w:rFonts w:ascii="Arial" w:eastAsia="Arial" w:hAnsi="Arial"/>
          <w:color w:val="000000"/>
          <w:sz w:val="20"/>
        </w:rPr>
        <w:t xml:space="preserve">Considered the results of any and all previously performed tests that relate to the </w:t>
      </w:r>
      <w:proofErr w:type="gramStart"/>
      <w:r>
        <w:rPr>
          <w:rFonts w:ascii="Arial" w:eastAsia="Arial" w:hAnsi="Arial"/>
          <w:color w:val="000000"/>
          <w:sz w:val="20"/>
        </w:rPr>
        <w:t>injury</w:t>
      </w:r>
      <w:proofErr w:type="gramEnd"/>
      <w:r>
        <w:rPr>
          <w:rFonts w:ascii="Arial" w:eastAsia="Arial" w:hAnsi="Arial"/>
          <w:color w:val="000000"/>
          <w:sz w:val="20"/>
        </w:rPr>
        <w:t xml:space="preserve"> and which are relevant to the proposed treatment, diagnostic testing or DME; and</w:t>
      </w:r>
    </w:p>
    <w:p w14:paraId="46DA5754" w14:textId="77777777" w:rsidR="00586313" w:rsidRDefault="00EF2F16">
      <w:pPr>
        <w:numPr>
          <w:ilvl w:val="0"/>
          <w:numId w:val="5"/>
        </w:numPr>
        <w:tabs>
          <w:tab w:val="clear" w:pos="216"/>
          <w:tab w:val="left" w:pos="1008"/>
        </w:tabs>
        <w:spacing w:before="231" w:line="230" w:lineRule="exact"/>
        <w:ind w:left="792"/>
        <w:jc w:val="both"/>
        <w:textAlignment w:val="baseline"/>
        <w:rPr>
          <w:rFonts w:ascii="Arial" w:eastAsia="Arial" w:hAnsi="Arial"/>
          <w:color w:val="000000"/>
          <w:sz w:val="20"/>
        </w:rPr>
      </w:pPr>
      <w:r>
        <w:rPr>
          <w:rFonts w:ascii="Arial" w:eastAsia="Arial" w:hAnsi="Arial"/>
          <w:color w:val="000000"/>
          <w:sz w:val="20"/>
        </w:rPr>
        <w:t>Recorded and documented these observations, positive and negative findings and conclusions on the patient’s medical records.</w:t>
      </w:r>
    </w:p>
    <w:p w14:paraId="41551026" w14:textId="69910ADD" w:rsidR="00586313" w:rsidRPr="002C09A1"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Within three (3) business days following receipt of a properly </w:t>
      </w:r>
      <w:r w:rsidRPr="002C09A1">
        <w:rPr>
          <w:rFonts w:ascii="Arial" w:eastAsia="Arial" w:hAnsi="Arial"/>
          <w:color w:val="000000"/>
          <w:sz w:val="20"/>
        </w:rPr>
        <w:t xml:space="preserve">submitted request, </w:t>
      </w:r>
      <w:proofErr w:type="spellStart"/>
      <w:r w:rsidRPr="002C09A1">
        <w:rPr>
          <w:rFonts w:ascii="Arial" w:eastAsia="Arial" w:hAnsi="Arial"/>
          <w:color w:val="000000"/>
          <w:sz w:val="20"/>
        </w:rPr>
        <w:t>Medlogix</w:t>
      </w:r>
      <w:proofErr w:type="spellEnd"/>
      <w:r w:rsidRPr="002C09A1">
        <w:rPr>
          <w:rFonts w:ascii="Arial" w:eastAsia="Arial" w:hAnsi="Arial"/>
          <w:color w:val="000000"/>
          <w:sz w:val="20"/>
        </w:rPr>
        <w:t xml:space="preserve"> will provide its determination. Our failure to respond within three (3) business days will allow a provider to continue treatment until we provide the required notice.</w:t>
      </w:r>
    </w:p>
    <w:p w14:paraId="77596B73" w14:textId="73B106D6" w:rsidR="00586313" w:rsidRDefault="00EF2F16">
      <w:pPr>
        <w:spacing w:before="230" w:line="228" w:lineRule="exact"/>
        <w:jc w:val="both"/>
        <w:textAlignment w:val="baseline"/>
        <w:rPr>
          <w:rFonts w:ascii="Arial" w:eastAsia="Arial" w:hAnsi="Arial"/>
          <w:color w:val="000000"/>
          <w:sz w:val="20"/>
        </w:rPr>
      </w:pPr>
      <w:r w:rsidRPr="002C09A1">
        <w:rPr>
          <w:rFonts w:ascii="Arial" w:eastAsia="Arial" w:hAnsi="Arial"/>
          <w:color w:val="000000"/>
          <w:sz w:val="20"/>
        </w:rPr>
        <w:t xml:space="preserve">When an improperly submitted request is received, </w:t>
      </w:r>
      <w:proofErr w:type="spellStart"/>
      <w:r w:rsidRPr="002C09A1">
        <w:rPr>
          <w:rFonts w:ascii="Arial" w:eastAsia="Arial" w:hAnsi="Arial"/>
          <w:color w:val="000000"/>
          <w:sz w:val="20"/>
        </w:rPr>
        <w:t>Medlogix</w:t>
      </w:r>
      <w:proofErr w:type="spellEnd"/>
      <w:r w:rsidRPr="002C09A1">
        <w:rPr>
          <w:rFonts w:ascii="Arial" w:eastAsia="Arial" w:hAnsi="Arial"/>
          <w:color w:val="000000"/>
          <w:sz w:val="20"/>
        </w:rPr>
        <w:t xml:space="preserve"> will </w:t>
      </w:r>
      <w:r>
        <w:rPr>
          <w:rFonts w:ascii="Arial" w:eastAsia="Arial" w:hAnsi="Arial"/>
          <w:color w:val="000000"/>
          <w:sz w:val="20"/>
        </w:rPr>
        <w:t>inform your treating provider what additional medical documentation or information is required. An administrative denial for failure to provide required medical documentation or information will be issued and will remain in effect until all requested information needed to properly process a review to determine medical necessity regarding the requested treatment/testing and/or DME is received. Our determination will be provided within three (3) business days following receipt of the additional required documentation or information. If we fail to notify the eligible injured party or provider of our determination within three (3) business days following receipt of the additional required documentation or information, you may continue with the test or treatment until our final determination is communicated to your provider.</w:t>
      </w:r>
    </w:p>
    <w:p w14:paraId="3C7C1F53" w14:textId="77777777" w:rsidR="00586313" w:rsidRDefault="00EF2F16">
      <w:pPr>
        <w:spacing w:before="232" w:line="229" w:lineRule="exact"/>
        <w:textAlignment w:val="baseline"/>
        <w:rPr>
          <w:rFonts w:ascii="Arial" w:eastAsia="Arial" w:hAnsi="Arial"/>
          <w:color w:val="000000"/>
          <w:sz w:val="20"/>
        </w:rPr>
      </w:pPr>
      <w:r>
        <w:rPr>
          <w:rFonts w:ascii="Arial" w:eastAsia="Arial" w:hAnsi="Arial"/>
          <w:color w:val="000000"/>
          <w:sz w:val="20"/>
        </w:rPr>
        <w:t>Any denial of treatment or testing based on medical necessity shall be made by a physician or dentist.</w:t>
      </w:r>
    </w:p>
    <w:p w14:paraId="00CA996F" w14:textId="77777777" w:rsidR="00586313" w:rsidRDefault="00EF2F16">
      <w:pPr>
        <w:spacing w:before="221" w:line="235" w:lineRule="exact"/>
        <w:jc w:val="both"/>
        <w:textAlignment w:val="baseline"/>
        <w:rPr>
          <w:rFonts w:ascii="Arial" w:eastAsia="Arial" w:hAnsi="Arial"/>
          <w:b/>
          <w:color w:val="000000"/>
          <w:sz w:val="20"/>
          <w:u w:val="single"/>
        </w:rPr>
      </w:pPr>
      <w:r>
        <w:rPr>
          <w:rFonts w:ascii="Arial" w:eastAsia="Arial" w:hAnsi="Arial"/>
          <w:b/>
          <w:color w:val="000000"/>
          <w:sz w:val="20"/>
          <w:u w:val="single"/>
        </w:rPr>
        <w:t>PLEASE NOTE:</w:t>
      </w:r>
      <w:r>
        <w:rPr>
          <w:rFonts w:ascii="Arial" w:eastAsia="Arial" w:hAnsi="Arial"/>
          <w:color w:val="000000"/>
          <w:sz w:val="20"/>
        </w:rPr>
        <w:t xml:space="preserve"> Authorized testing, treatment and/or DME is only approved for the range of dates noted in the determination letter(s).</w:t>
      </w:r>
    </w:p>
    <w:p w14:paraId="776CE879" w14:textId="77777777" w:rsidR="00586313" w:rsidRDefault="00EF2F16">
      <w:pPr>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Expired Authorization</w:t>
      </w:r>
      <w:r>
        <w:rPr>
          <w:rFonts w:ascii="Arial" w:eastAsia="Arial" w:hAnsi="Arial"/>
          <w:color w:val="000000"/>
          <w:spacing w:val="-1"/>
          <w:sz w:val="20"/>
        </w:rPr>
        <w:t>:</w:t>
      </w:r>
    </w:p>
    <w:p w14:paraId="281F7028"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If you or your treating Provider fails to follow the decision point review/precertification procedures identified in this document, any approved testing, treatment and/or DME completed after the authorization period (last date in the range of dates indicated in the authorization notice letter) expires will be subject to a penalty co-pay of 50%, even if the services are determined to be medically necessary.</w:t>
      </w:r>
    </w:p>
    <w:p w14:paraId="591E79D5" w14:textId="77777777" w:rsidR="00586313" w:rsidRDefault="00EF2F16">
      <w:pPr>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INDEPENDENT MEDICAL EXAMINATION</w:t>
      </w:r>
    </w:p>
    <w:p w14:paraId="0134CF47" w14:textId="53E6DD67" w:rsidR="00586313" w:rsidRDefault="00EF2F16">
      <w:pPr>
        <w:spacing w:before="234" w:line="228" w:lineRule="exact"/>
        <w:jc w:val="both"/>
        <w:textAlignment w:val="baseline"/>
        <w:rPr>
          <w:rFonts w:ascii="Arial" w:eastAsia="Arial" w:hAnsi="Arial"/>
          <w:color w:val="000000"/>
          <w:sz w:val="20"/>
        </w:rPr>
      </w:pPr>
      <w:proofErr w:type="spellStart"/>
      <w:r w:rsidRPr="002C09A1">
        <w:rPr>
          <w:rFonts w:ascii="Arial" w:eastAsia="Arial" w:hAnsi="Arial"/>
          <w:color w:val="000000"/>
          <w:sz w:val="20"/>
        </w:rPr>
        <w:t>Medlogix</w:t>
      </w:r>
      <w:proofErr w:type="spellEnd"/>
      <w:r w:rsidRPr="002C09A1">
        <w:rPr>
          <w:rFonts w:ascii="Arial" w:eastAsia="Arial" w:hAnsi="Arial"/>
          <w:color w:val="000000"/>
          <w:sz w:val="20"/>
        </w:rPr>
        <w:t xml:space="preserve"> or the insurance carrier may request that you attend an Independent Medical Examination. If an Independent Medical Examination is requested, the appointment for the physical examination will be scheduled within seven (7) calendar days of receipt of the notice, unless the injured person agrees with </w:t>
      </w:r>
      <w:proofErr w:type="spellStart"/>
      <w:proofErr w:type="gramStart"/>
      <w:r w:rsidRPr="002C09A1">
        <w:rPr>
          <w:rFonts w:ascii="Arial" w:eastAsia="Arial" w:hAnsi="Arial"/>
          <w:color w:val="000000"/>
          <w:sz w:val="20"/>
        </w:rPr>
        <w:t>Medlogix</w:t>
      </w:r>
      <w:proofErr w:type="spellEnd"/>
      <w:r w:rsidRPr="002C09A1">
        <w:rPr>
          <w:rFonts w:ascii="Arial" w:eastAsia="Arial" w:hAnsi="Arial"/>
          <w:color w:val="000000"/>
          <w:sz w:val="20"/>
        </w:rPr>
        <w:t xml:space="preserve">  </w:t>
      </w:r>
      <w:r>
        <w:rPr>
          <w:rFonts w:ascii="Arial" w:eastAsia="Arial" w:hAnsi="Arial"/>
          <w:color w:val="000000"/>
          <w:sz w:val="20"/>
        </w:rPr>
        <w:t>to</w:t>
      </w:r>
      <w:proofErr w:type="gramEnd"/>
      <w:r>
        <w:rPr>
          <w:rFonts w:ascii="Arial" w:eastAsia="Arial" w:hAnsi="Arial"/>
          <w:color w:val="000000"/>
          <w:sz w:val="20"/>
        </w:rPr>
        <w:t xml:space="preserve"> extend the time period.</w:t>
      </w:r>
    </w:p>
    <w:p w14:paraId="620083AC" w14:textId="77777777" w:rsidR="00586313" w:rsidRDefault="00EF2F16">
      <w:pPr>
        <w:spacing w:before="230" w:line="231" w:lineRule="exact"/>
        <w:jc w:val="both"/>
        <w:textAlignment w:val="baseline"/>
        <w:rPr>
          <w:rFonts w:ascii="Arial" w:eastAsia="Arial" w:hAnsi="Arial"/>
          <w:color w:val="000000"/>
          <w:sz w:val="20"/>
        </w:rPr>
      </w:pPr>
      <w:r>
        <w:rPr>
          <w:rFonts w:ascii="Arial" w:eastAsia="Arial" w:hAnsi="Arial"/>
          <w:color w:val="000000"/>
          <w:sz w:val="20"/>
        </w:rPr>
        <w:t xml:space="preserve">The Independent Medical Examination will be conducted by a provider in the same specialty </w:t>
      </w:r>
      <w:proofErr w:type="gramStart"/>
      <w:r>
        <w:rPr>
          <w:rFonts w:ascii="Arial" w:eastAsia="Arial" w:hAnsi="Arial"/>
          <w:color w:val="000000"/>
          <w:sz w:val="20"/>
        </w:rPr>
        <w:t>of</w:t>
      </w:r>
      <w:proofErr w:type="gramEnd"/>
      <w:r>
        <w:rPr>
          <w:rFonts w:ascii="Arial" w:eastAsia="Arial" w:hAnsi="Arial"/>
          <w:color w:val="000000"/>
          <w:sz w:val="20"/>
        </w:rPr>
        <w:t xml:space="preserve"> your treating provider and will be conducted in a location reasonably convenient to the eligible injured person.</w:t>
      </w:r>
    </w:p>
    <w:p w14:paraId="48C8561F" w14:textId="4C4DF72E" w:rsidR="00586313" w:rsidRDefault="00EF2F16">
      <w:pPr>
        <w:spacing w:before="317" w:line="231" w:lineRule="exact"/>
        <w:jc w:val="both"/>
        <w:textAlignment w:val="baseline"/>
        <w:rPr>
          <w:rFonts w:ascii="Arial" w:eastAsia="Arial" w:hAnsi="Arial"/>
          <w:color w:val="000000"/>
          <w:sz w:val="20"/>
        </w:rPr>
      </w:pPr>
      <w:r>
        <w:rPr>
          <w:rFonts w:ascii="Arial" w:eastAsia="Arial" w:hAnsi="Arial"/>
          <w:color w:val="000000"/>
          <w:sz w:val="20"/>
        </w:rPr>
        <w:t>Results of the Independent Medical Examination and the determination regarding your provider’s request will be submitted to you in writing and to your health care provider in writing and by telephone within three (3) business days after the examination. Please note that your medically necessary treatment may proceed while the Independent Medical Examination is being scheduled and until the results are available. Except for non-emergent tests, surgery, procedures performed in ambulatory surgical centers, and invasive dental procedures, treatment may proceed while the examination is being scheduled and until the results become available. However only medically necessary treatment related to the</w:t>
      </w:r>
    </w:p>
    <w:p w14:paraId="5F1D135D" w14:textId="77777777" w:rsidR="00586313" w:rsidRDefault="00586313"/>
    <w:p w14:paraId="43033418" w14:textId="77777777" w:rsidR="000055D7" w:rsidRDefault="000055D7"/>
    <w:p w14:paraId="489CB323" w14:textId="77777777" w:rsidR="000055D7" w:rsidRDefault="000055D7">
      <w:pPr>
        <w:sectPr w:rsidR="000055D7">
          <w:pgSz w:w="12240" w:h="15840"/>
          <w:pgMar w:top="720" w:right="697" w:bottom="304" w:left="703" w:header="720" w:footer="720" w:gutter="0"/>
          <w:cols w:space="720"/>
        </w:sectPr>
      </w:pPr>
    </w:p>
    <w:p w14:paraId="3E911151" w14:textId="77777777" w:rsidR="00586313" w:rsidRDefault="00EF2F16">
      <w:pPr>
        <w:spacing w:line="230" w:lineRule="exact"/>
        <w:jc w:val="both"/>
        <w:textAlignment w:val="baseline"/>
        <w:rPr>
          <w:rFonts w:ascii="Arial" w:eastAsia="Arial" w:hAnsi="Arial"/>
          <w:color w:val="000000"/>
          <w:sz w:val="20"/>
        </w:rPr>
      </w:pPr>
      <w:r>
        <w:rPr>
          <w:rFonts w:ascii="Arial" w:eastAsia="Arial" w:hAnsi="Arial"/>
          <w:color w:val="000000"/>
          <w:sz w:val="20"/>
        </w:rPr>
        <w:lastRenderedPageBreak/>
        <w:t>motor vehicle accident will be reimbursed. If the examining provider prepares a written report concerning the examination, the eligible injured person, or his or her designee, shall be entitled to a copy of the report upon request.</w:t>
      </w:r>
    </w:p>
    <w:p w14:paraId="5E5234D4" w14:textId="77777777" w:rsidR="00586313" w:rsidRDefault="00EF2F16">
      <w:pPr>
        <w:spacing w:before="232" w:line="230" w:lineRule="exact"/>
        <w:ind w:right="72"/>
        <w:jc w:val="both"/>
        <w:textAlignment w:val="baseline"/>
        <w:rPr>
          <w:rFonts w:ascii="Arial" w:eastAsia="Arial" w:hAnsi="Arial"/>
          <w:color w:val="000000"/>
          <w:sz w:val="20"/>
        </w:rPr>
      </w:pPr>
      <w:r>
        <w:rPr>
          <w:rFonts w:ascii="Arial" w:eastAsia="Arial" w:hAnsi="Arial"/>
          <w:color w:val="000000"/>
          <w:sz w:val="20"/>
        </w:rPr>
        <w:t xml:space="preserve">Examination will be scheduled to occur within thirty (30) calendar days of the receipt of the request. Examinations scheduled to occur beyond thirty (30) calendar days of the receipt of the </w:t>
      </w:r>
      <w:proofErr w:type="gramStart"/>
      <w:r>
        <w:rPr>
          <w:rFonts w:ascii="Arial" w:eastAsia="Arial" w:hAnsi="Arial"/>
          <w:color w:val="000000"/>
          <w:sz w:val="20"/>
        </w:rPr>
        <w:t>request,</w:t>
      </w:r>
      <w:proofErr w:type="gramEnd"/>
      <w:r>
        <w:rPr>
          <w:rFonts w:ascii="Arial" w:eastAsia="Arial" w:hAnsi="Arial"/>
          <w:color w:val="000000"/>
          <w:sz w:val="20"/>
        </w:rPr>
        <w:t xml:space="preserve"> must be attended. Failure to attend an examination scheduled to occur more than thirty (30) calendar days after receipt of the request will be considered an unexcused failure to attend the examination.</w:t>
      </w:r>
    </w:p>
    <w:p w14:paraId="12C19225" w14:textId="77777777" w:rsidR="00586313" w:rsidRDefault="00EF2F16">
      <w:pPr>
        <w:spacing w:before="236" w:line="225" w:lineRule="exact"/>
        <w:jc w:val="both"/>
        <w:textAlignment w:val="baseline"/>
        <w:rPr>
          <w:rFonts w:ascii="Arial" w:eastAsia="Arial" w:hAnsi="Arial"/>
          <w:color w:val="000000"/>
          <w:sz w:val="20"/>
        </w:rPr>
      </w:pPr>
      <w:r>
        <w:rPr>
          <w:rFonts w:ascii="Arial" w:eastAsia="Arial" w:hAnsi="Arial"/>
          <w:color w:val="000000"/>
          <w:sz w:val="20"/>
        </w:rPr>
        <w:t>You are required to present photo identification, or any form of identification, to the examining provider at the time of the exam. Failure to comply with this requirement will result in an unexcused failure to attend the examination.</w:t>
      </w:r>
    </w:p>
    <w:p w14:paraId="271042DA" w14:textId="77777777" w:rsidR="00586313" w:rsidRDefault="00EF2F16">
      <w:pPr>
        <w:spacing w:before="232" w:line="230" w:lineRule="exact"/>
        <w:ind w:right="72"/>
        <w:jc w:val="both"/>
        <w:textAlignment w:val="baseline"/>
        <w:rPr>
          <w:rFonts w:ascii="Arial" w:eastAsia="Arial" w:hAnsi="Arial"/>
          <w:color w:val="000000"/>
          <w:sz w:val="20"/>
        </w:rPr>
      </w:pPr>
      <w:r>
        <w:rPr>
          <w:rFonts w:ascii="Arial" w:eastAsia="Arial" w:hAnsi="Arial"/>
          <w:color w:val="000000"/>
          <w:sz w:val="20"/>
        </w:rPr>
        <w:t xml:space="preserve">If you are non-English speaking, then an </w:t>
      </w:r>
      <w:proofErr w:type="gramStart"/>
      <w:r>
        <w:rPr>
          <w:rFonts w:ascii="Arial" w:eastAsia="Arial" w:hAnsi="Arial"/>
          <w:color w:val="000000"/>
          <w:sz w:val="20"/>
        </w:rPr>
        <w:t>English speaking</w:t>
      </w:r>
      <w:proofErr w:type="gramEnd"/>
      <w:r>
        <w:rPr>
          <w:rFonts w:ascii="Arial" w:eastAsia="Arial" w:hAnsi="Arial"/>
          <w:color w:val="000000"/>
          <w:sz w:val="20"/>
        </w:rPr>
        <w:t xml:space="preserve"> interpreter must accompany you to the examination. No interpreter fees or costs will be compensable. Failure to comply with this requirement will result in an unexcused failure to attend the examination.</w:t>
      </w:r>
    </w:p>
    <w:p w14:paraId="35E15B85" w14:textId="418E9359"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 xml:space="preserve">If you must reschedule your appointment, you must contact </w:t>
      </w:r>
      <w:proofErr w:type="spellStart"/>
      <w:r w:rsidRPr="002C09A1">
        <w:rPr>
          <w:rFonts w:ascii="Arial" w:eastAsia="Arial" w:hAnsi="Arial"/>
          <w:color w:val="000000"/>
          <w:sz w:val="20"/>
        </w:rPr>
        <w:t>Medlogix</w:t>
      </w:r>
      <w:proofErr w:type="spellEnd"/>
      <w:r w:rsidRPr="002C09A1">
        <w:rPr>
          <w:rFonts w:ascii="Arial" w:eastAsia="Arial" w:hAnsi="Arial"/>
          <w:color w:val="000000"/>
          <w:sz w:val="20"/>
        </w:rPr>
        <w:t xml:space="preserve"> at (877) 258-CERT (2378)</w:t>
      </w:r>
      <w:r w:rsidR="002C09A1">
        <w:rPr>
          <w:rFonts w:ascii="Arial" w:eastAsia="Arial" w:hAnsi="Arial"/>
          <w:color w:val="000000"/>
          <w:sz w:val="20"/>
        </w:rPr>
        <w:t xml:space="preserve"> </w:t>
      </w:r>
      <w:r>
        <w:rPr>
          <w:rFonts w:ascii="Arial" w:eastAsia="Arial" w:hAnsi="Arial"/>
          <w:color w:val="000000"/>
          <w:sz w:val="20"/>
        </w:rPr>
        <w:t>no less than three (3) business days prior to the scheduled appointment. Failure to comply with this requirement will result in an unexcused failure to attend the examination.</w:t>
      </w:r>
    </w:p>
    <w:p w14:paraId="2180CB3E" w14:textId="77777777" w:rsidR="00586313" w:rsidRDefault="00EF2F16">
      <w:pPr>
        <w:spacing w:before="229" w:line="230" w:lineRule="exact"/>
        <w:jc w:val="both"/>
        <w:textAlignment w:val="baseline"/>
        <w:rPr>
          <w:rFonts w:ascii="Arial" w:eastAsia="Arial" w:hAnsi="Arial"/>
          <w:color w:val="000000"/>
          <w:sz w:val="20"/>
        </w:rPr>
      </w:pPr>
      <w:r>
        <w:rPr>
          <w:rFonts w:ascii="Arial" w:eastAsia="Arial" w:hAnsi="Arial"/>
          <w:color w:val="000000"/>
          <w:sz w:val="20"/>
        </w:rPr>
        <w:t>You must provide all medical records and diagnostic studies/tests available before or at the time of the examination. Failure to provide the required medical records and/or diagnostic studies/tests will be considered an unexcused failure to attend the IME. If the injured person has two (2) or more unexcused failures to attend the scheduled exam, or three (3) failures to attend an examination in total, notification will be immediately sent to the injured person or to his or her designee, and all providers treating the injured person for the diagnosis (and related diagnosis) contained in the Attending Provider Treatment Plan form. The notification will place the injured person on notice that all further treatment, diagnostic testing or DME required for the diagnosis, (and related diagnosis) contained in the Attending Provider Treatment Plan form, will not be reimbursable as a consequence for failure to comply with the plan.</w:t>
      </w:r>
    </w:p>
    <w:p w14:paraId="6501DFC4"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An example of the injured person’s three (3) total failures to attend the exam may include three (3) occurrences of any one of the following or three (3) occurrences of any combination of the following:</w:t>
      </w:r>
    </w:p>
    <w:p w14:paraId="13F23EAB" w14:textId="77777777" w:rsidR="00586313" w:rsidRDefault="00EF2F16">
      <w:pPr>
        <w:numPr>
          <w:ilvl w:val="0"/>
          <w:numId w:val="1"/>
        </w:numPr>
        <w:tabs>
          <w:tab w:val="clear" w:pos="360"/>
          <w:tab w:val="left" w:pos="720"/>
        </w:tabs>
        <w:spacing w:before="241" w:line="230" w:lineRule="exact"/>
        <w:ind w:left="720" w:hanging="360"/>
        <w:textAlignment w:val="baseline"/>
        <w:rPr>
          <w:rFonts w:ascii="Arial" w:eastAsia="Arial" w:hAnsi="Arial"/>
          <w:color w:val="000000"/>
          <w:sz w:val="20"/>
        </w:rPr>
      </w:pPr>
      <w:r>
        <w:rPr>
          <w:rFonts w:ascii="Arial" w:eastAsia="Arial" w:hAnsi="Arial"/>
          <w:color w:val="000000"/>
          <w:sz w:val="20"/>
        </w:rPr>
        <w:t xml:space="preserve">Failure to provide the medical records and/or diagnostic films before or on the day of </w:t>
      </w:r>
      <w:proofErr w:type="gramStart"/>
      <w:r>
        <w:rPr>
          <w:rFonts w:ascii="Arial" w:eastAsia="Arial" w:hAnsi="Arial"/>
          <w:color w:val="000000"/>
          <w:sz w:val="20"/>
        </w:rPr>
        <w:t>examination;</w:t>
      </w:r>
      <w:proofErr w:type="gramEnd"/>
    </w:p>
    <w:p w14:paraId="4F5ADF24" w14:textId="77777777" w:rsidR="00586313" w:rsidRDefault="00EF2F16">
      <w:pPr>
        <w:numPr>
          <w:ilvl w:val="0"/>
          <w:numId w:val="1"/>
        </w:numPr>
        <w:tabs>
          <w:tab w:val="clear" w:pos="360"/>
          <w:tab w:val="left" w:pos="720"/>
        </w:tabs>
        <w:spacing w:before="20" w:line="225"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Rescheduling the examination for any reason even within the required three (3) business days prior to the examination </w:t>
      </w:r>
      <w:proofErr w:type="gramStart"/>
      <w:r>
        <w:rPr>
          <w:rFonts w:ascii="Arial" w:eastAsia="Arial" w:hAnsi="Arial"/>
          <w:color w:val="000000"/>
          <w:sz w:val="20"/>
        </w:rPr>
        <w:t>appointment;</w:t>
      </w:r>
      <w:proofErr w:type="gramEnd"/>
    </w:p>
    <w:p w14:paraId="6C2F4AAE"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Failure to present valid photo identification or any form of identification at the time of the </w:t>
      </w:r>
      <w:proofErr w:type="gramStart"/>
      <w:r>
        <w:rPr>
          <w:rFonts w:ascii="Arial" w:eastAsia="Arial" w:hAnsi="Arial"/>
          <w:color w:val="000000"/>
          <w:sz w:val="20"/>
        </w:rPr>
        <w:t>examination;</w:t>
      </w:r>
      <w:proofErr w:type="gramEnd"/>
    </w:p>
    <w:p w14:paraId="6D50F6E9"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Failure to be accompanied by an English interpreter if the eligible injured party is non-English </w:t>
      </w:r>
      <w:proofErr w:type="gramStart"/>
      <w:r>
        <w:rPr>
          <w:rFonts w:ascii="Arial" w:eastAsia="Arial" w:hAnsi="Arial"/>
          <w:color w:val="000000"/>
          <w:sz w:val="20"/>
        </w:rPr>
        <w:t>speaking;</w:t>
      </w:r>
      <w:proofErr w:type="gramEnd"/>
    </w:p>
    <w:p w14:paraId="561D32AB"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Failure to present for any of the examination appointments for any reason.</w:t>
      </w:r>
    </w:p>
    <w:p w14:paraId="392DA4DC" w14:textId="77777777" w:rsidR="00586313" w:rsidRDefault="00EF2F16">
      <w:pPr>
        <w:numPr>
          <w:ilvl w:val="0"/>
          <w:numId w:val="1"/>
        </w:numPr>
        <w:tabs>
          <w:tab w:val="clear" w:pos="360"/>
          <w:tab w:val="left" w:pos="720"/>
        </w:tabs>
        <w:spacing w:before="10" w:line="230" w:lineRule="exact"/>
        <w:ind w:left="720" w:right="72" w:hanging="360"/>
        <w:jc w:val="both"/>
        <w:textAlignment w:val="baseline"/>
        <w:rPr>
          <w:rFonts w:ascii="Arial" w:eastAsia="Arial" w:hAnsi="Arial"/>
          <w:color w:val="000000"/>
          <w:sz w:val="20"/>
        </w:rPr>
      </w:pPr>
      <w:r>
        <w:rPr>
          <w:rFonts w:ascii="Arial" w:eastAsia="Arial" w:hAnsi="Arial"/>
          <w:color w:val="000000"/>
          <w:sz w:val="20"/>
        </w:rPr>
        <w:t>Failure to attend an examination scheduled to occur beyond thirty (30) calendar days of the receipt of the request of additional treatment/test or service in question.</w:t>
      </w:r>
    </w:p>
    <w:p w14:paraId="271A647D" w14:textId="77777777" w:rsidR="00586313" w:rsidRDefault="00EF2F16">
      <w:pPr>
        <w:spacing w:before="275"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VOLUNTARY NETWORK PROGRAM (VNP): </w:t>
      </w:r>
    </w:p>
    <w:p w14:paraId="3A8DDDB6"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Optum has a provider network that is available to you. As outlined in N.J.A.C. 11:3-4.8, the Optum Network is an approved network as part of a workers’ compensation managed care organization pursuant to N.J.A.C. 11:6. The benefits of the network include ease of access, credentialed and quality providers and the fact that your penalty co-payment is waived when accessing a network provider.</w:t>
      </w:r>
    </w:p>
    <w:p w14:paraId="6F7F61D6" w14:textId="77777777" w:rsidR="00586313" w:rsidRDefault="00EF2F16">
      <w:pPr>
        <w:spacing w:before="231" w:line="230" w:lineRule="exact"/>
        <w:textAlignment w:val="baseline"/>
        <w:rPr>
          <w:rFonts w:ascii="Arial" w:eastAsia="Arial" w:hAnsi="Arial"/>
          <w:color w:val="000000"/>
          <w:sz w:val="20"/>
        </w:rPr>
      </w:pPr>
      <w:r>
        <w:rPr>
          <w:rFonts w:ascii="Arial" w:eastAsia="Arial" w:hAnsi="Arial"/>
          <w:color w:val="000000"/>
          <w:sz w:val="20"/>
        </w:rPr>
        <w:t>In accordance with N.J.A.C. 11:3-4.8 the plan includes a voluntary network for:</w:t>
      </w:r>
    </w:p>
    <w:p w14:paraId="04D93CF7" w14:textId="77777777" w:rsidR="00586313" w:rsidRDefault="00EF2F16">
      <w:pPr>
        <w:numPr>
          <w:ilvl w:val="0"/>
          <w:numId w:val="6"/>
        </w:numPr>
        <w:tabs>
          <w:tab w:val="clear" w:pos="360"/>
          <w:tab w:val="left" w:pos="1080"/>
        </w:tabs>
        <w:spacing w:before="226" w:line="230" w:lineRule="exact"/>
        <w:ind w:left="720"/>
        <w:textAlignment w:val="baseline"/>
        <w:rPr>
          <w:rFonts w:ascii="Arial" w:eastAsia="Arial" w:hAnsi="Arial"/>
          <w:color w:val="000000"/>
          <w:sz w:val="20"/>
        </w:rPr>
      </w:pPr>
      <w:r>
        <w:rPr>
          <w:rFonts w:ascii="Arial" w:eastAsia="Arial" w:hAnsi="Arial"/>
          <w:color w:val="000000"/>
          <w:sz w:val="20"/>
        </w:rPr>
        <w:t>Magnetic Resonance Imaging (MRI)</w:t>
      </w:r>
    </w:p>
    <w:p w14:paraId="1D048AB4"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Computer Assisted Tomography (CT/CAT Scans)</w:t>
      </w:r>
    </w:p>
    <w:p w14:paraId="5249CCF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Needle Electromyography (needle EMG) ** H-reflex and nerve conduction velocity (NCV) tests</w:t>
      </w:r>
    </w:p>
    <w:p w14:paraId="744A0F8D"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Somatosensory Evoked Potential (SSEP)**</w:t>
      </w:r>
    </w:p>
    <w:p w14:paraId="584387E9"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Visual Evoked Potential (VEP)**</w:t>
      </w:r>
    </w:p>
    <w:p w14:paraId="31C1E0D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Brain Audio Evoked Potential (BAEP)**</w:t>
      </w:r>
    </w:p>
    <w:p w14:paraId="75DC7BB6"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Brain Evoked Potential (BEP)**</w:t>
      </w:r>
    </w:p>
    <w:p w14:paraId="2682F7D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Nerve Conduction Velocity (NCV)**</w:t>
      </w:r>
    </w:p>
    <w:p w14:paraId="096BD824"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H reflex Study**</w:t>
      </w:r>
    </w:p>
    <w:p w14:paraId="094FA46A" w14:textId="77777777" w:rsidR="00586313" w:rsidRDefault="00EF2F16">
      <w:pPr>
        <w:numPr>
          <w:ilvl w:val="0"/>
          <w:numId w:val="6"/>
        </w:numPr>
        <w:tabs>
          <w:tab w:val="clear" w:pos="360"/>
          <w:tab w:val="left" w:pos="1080"/>
        </w:tabs>
        <w:spacing w:line="226" w:lineRule="exact"/>
        <w:ind w:left="720"/>
        <w:textAlignment w:val="baseline"/>
        <w:rPr>
          <w:rFonts w:ascii="Arial" w:eastAsia="Arial" w:hAnsi="Arial"/>
          <w:color w:val="000000"/>
          <w:sz w:val="20"/>
        </w:rPr>
      </w:pPr>
      <w:r>
        <w:rPr>
          <w:rFonts w:ascii="Arial" w:eastAsia="Arial" w:hAnsi="Arial"/>
          <w:color w:val="000000"/>
          <w:sz w:val="20"/>
        </w:rPr>
        <w:t>Electroencephalogram (EEG)**</w:t>
      </w:r>
    </w:p>
    <w:p w14:paraId="4F6326FC"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DME with a cost or monthly rental in excess of $50.00</w:t>
      </w:r>
    </w:p>
    <w:p w14:paraId="29DB7F65" w14:textId="77777777" w:rsidR="00586313" w:rsidRDefault="00EF2F16">
      <w:pPr>
        <w:spacing w:before="201" w:line="273" w:lineRule="exact"/>
        <w:jc w:val="center"/>
        <w:textAlignment w:val="baseline"/>
        <w:rPr>
          <w:rFonts w:eastAsia="Times New Roman"/>
          <w:color w:val="000000"/>
          <w:sz w:val="24"/>
        </w:rPr>
      </w:pPr>
      <w:r>
        <w:rPr>
          <w:rFonts w:eastAsia="Times New Roman"/>
          <w:color w:val="000000"/>
          <w:sz w:val="24"/>
        </w:rPr>
        <w:t>5</w:t>
      </w:r>
    </w:p>
    <w:p w14:paraId="64B3041B" w14:textId="77777777" w:rsidR="00586313" w:rsidRDefault="00586313">
      <w:pPr>
        <w:sectPr w:rsidR="00586313">
          <w:pgSz w:w="12240" w:h="15840"/>
          <w:pgMar w:top="720" w:right="695" w:bottom="324" w:left="705" w:header="720" w:footer="720" w:gutter="0"/>
          <w:cols w:space="720"/>
        </w:sectPr>
      </w:pPr>
    </w:p>
    <w:p w14:paraId="0AEE0DF8" w14:textId="77777777" w:rsidR="00D53EBB" w:rsidRDefault="00EF2F16" w:rsidP="00D53EBB">
      <w:pPr>
        <w:pStyle w:val="ListParagraph"/>
        <w:numPr>
          <w:ilvl w:val="0"/>
          <w:numId w:val="6"/>
        </w:numPr>
        <w:tabs>
          <w:tab w:val="left" w:pos="288"/>
          <w:tab w:val="left" w:pos="1080"/>
        </w:tabs>
        <w:spacing w:line="229" w:lineRule="exact"/>
        <w:textAlignment w:val="baseline"/>
        <w:rPr>
          <w:rFonts w:ascii="Arial" w:eastAsia="Arial" w:hAnsi="Arial"/>
          <w:color w:val="000000"/>
          <w:sz w:val="20"/>
        </w:rPr>
      </w:pPr>
      <w:r w:rsidRPr="00D53EBB">
        <w:rPr>
          <w:rFonts w:ascii="Arial" w:eastAsia="Arial" w:hAnsi="Arial"/>
          <w:color w:val="000000"/>
          <w:sz w:val="20"/>
        </w:rPr>
        <w:lastRenderedPageBreak/>
        <w:t>Prescription Drugs</w:t>
      </w:r>
    </w:p>
    <w:p w14:paraId="2A8C52AD" w14:textId="212B0867" w:rsidR="00586313" w:rsidRPr="00D53EBB" w:rsidRDefault="00EF2F16" w:rsidP="00D53EBB">
      <w:pPr>
        <w:pStyle w:val="ListParagraph"/>
        <w:numPr>
          <w:ilvl w:val="0"/>
          <w:numId w:val="6"/>
        </w:numPr>
        <w:tabs>
          <w:tab w:val="left" w:pos="288"/>
          <w:tab w:val="left" w:pos="1080"/>
        </w:tabs>
        <w:spacing w:line="229" w:lineRule="exact"/>
        <w:textAlignment w:val="baseline"/>
        <w:rPr>
          <w:rFonts w:ascii="Arial" w:eastAsia="Arial" w:hAnsi="Arial"/>
          <w:color w:val="000000"/>
          <w:sz w:val="20"/>
        </w:rPr>
      </w:pPr>
      <w:r w:rsidRPr="00D53EBB">
        <w:rPr>
          <w:rFonts w:ascii="Arial" w:eastAsia="Arial" w:hAnsi="Arial"/>
          <w:color w:val="000000"/>
          <w:sz w:val="20"/>
        </w:rPr>
        <w:t xml:space="preserve">Services, equipment or </w:t>
      </w:r>
      <w:proofErr w:type="gramStart"/>
      <w:r w:rsidRPr="00D53EBB">
        <w:rPr>
          <w:rFonts w:ascii="Arial" w:eastAsia="Arial" w:hAnsi="Arial"/>
          <w:color w:val="000000"/>
          <w:sz w:val="20"/>
        </w:rPr>
        <w:t>accommodations</w:t>
      </w:r>
      <w:proofErr w:type="gramEnd"/>
      <w:r w:rsidRPr="00D53EBB">
        <w:rPr>
          <w:rFonts w:ascii="Arial" w:eastAsia="Arial" w:hAnsi="Arial"/>
          <w:color w:val="000000"/>
          <w:sz w:val="20"/>
        </w:rPr>
        <w:t xml:space="preserve"> provided by an ambulatory surgery facility.</w:t>
      </w:r>
    </w:p>
    <w:p w14:paraId="644C6F0B" w14:textId="77777777" w:rsidR="00586313" w:rsidRDefault="00EF2F16">
      <w:pPr>
        <w:spacing w:before="232" w:line="229" w:lineRule="exact"/>
        <w:ind w:left="792"/>
        <w:textAlignment w:val="baseline"/>
        <w:rPr>
          <w:rFonts w:ascii="Arial" w:eastAsia="Arial" w:hAnsi="Arial"/>
          <w:color w:val="000000"/>
          <w:sz w:val="20"/>
        </w:rPr>
      </w:pPr>
      <w:r>
        <w:rPr>
          <w:rFonts w:ascii="Arial" w:eastAsia="Arial" w:hAnsi="Arial"/>
          <w:color w:val="000000"/>
          <w:sz w:val="20"/>
        </w:rPr>
        <w:t>** except when performed by the treating physician in conjunction with a Needle EMG.</w:t>
      </w:r>
    </w:p>
    <w:p w14:paraId="634CDBAD" w14:textId="5C628E3D" w:rsidR="00586313" w:rsidRDefault="00EF2F16">
      <w:pPr>
        <w:spacing w:before="227" w:line="230" w:lineRule="exact"/>
        <w:ind w:right="72"/>
        <w:jc w:val="both"/>
        <w:textAlignment w:val="baseline"/>
        <w:rPr>
          <w:rFonts w:ascii="Arial" w:eastAsia="Arial" w:hAnsi="Arial"/>
          <w:color w:val="000000"/>
          <w:sz w:val="20"/>
        </w:rPr>
      </w:pPr>
      <w:r>
        <w:rPr>
          <w:rFonts w:ascii="Arial" w:eastAsia="Arial" w:hAnsi="Arial"/>
          <w:color w:val="000000"/>
          <w:sz w:val="20"/>
        </w:rPr>
        <w:t xml:space="preserve">When any of the services listed above is authorized at any point in the </w:t>
      </w:r>
      <w:r>
        <w:rPr>
          <w:rFonts w:ascii="Arial" w:eastAsia="Arial" w:hAnsi="Arial"/>
          <w:b/>
          <w:color w:val="000000"/>
          <w:sz w:val="20"/>
        </w:rPr>
        <w:t xml:space="preserve">decision point review or precertification </w:t>
      </w:r>
      <w:r>
        <w:rPr>
          <w:rFonts w:ascii="Arial" w:eastAsia="Arial" w:hAnsi="Arial"/>
          <w:color w:val="000000"/>
          <w:sz w:val="20"/>
        </w:rPr>
        <w:t xml:space="preserve">or appeal process, information about accessing our voluntary network of providers is available on the websites or at the </w:t>
      </w:r>
      <w:r w:rsidR="005F50F2">
        <w:rPr>
          <w:rFonts w:ascii="Arial" w:eastAsia="Arial" w:hAnsi="Arial"/>
          <w:color w:val="000000"/>
          <w:sz w:val="20"/>
        </w:rPr>
        <w:t>toll-free</w:t>
      </w:r>
      <w:r>
        <w:rPr>
          <w:rFonts w:ascii="Arial" w:eastAsia="Arial" w:hAnsi="Arial"/>
          <w:color w:val="000000"/>
          <w:sz w:val="20"/>
        </w:rPr>
        <w:t xml:space="preserve"> numbers listed below. Those individuals who choose not to utilize the network will be assessed a penalty copayment not to exceed 30% of the eligible charge, including if the treatment is denied but subsequently approved. That penalty copayment will be the responsibility of the eligible injured party.</w:t>
      </w:r>
    </w:p>
    <w:p w14:paraId="16945E28" w14:textId="77777777" w:rsidR="00586313" w:rsidRDefault="00EF2F16">
      <w:pPr>
        <w:spacing w:before="232" w:line="229" w:lineRule="exact"/>
        <w:textAlignment w:val="baseline"/>
        <w:rPr>
          <w:rFonts w:ascii="Arial" w:eastAsia="Arial" w:hAnsi="Arial"/>
          <w:color w:val="000000"/>
          <w:sz w:val="20"/>
        </w:rPr>
      </w:pPr>
      <w:r>
        <w:rPr>
          <w:rFonts w:ascii="Arial" w:eastAsia="Arial" w:hAnsi="Arial"/>
          <w:color w:val="000000"/>
          <w:sz w:val="20"/>
        </w:rPr>
        <w:t>There are two specific Networks for the below specified services:</w:t>
      </w:r>
    </w:p>
    <w:p w14:paraId="54ECE3FF"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Prescription Drugs:</w:t>
      </w:r>
    </w:p>
    <w:p w14:paraId="1EF381B5" w14:textId="77777777" w:rsidR="00586313" w:rsidRDefault="00EF2F16">
      <w:pPr>
        <w:spacing w:before="1" w:line="230" w:lineRule="exact"/>
        <w:ind w:left="1440"/>
        <w:textAlignment w:val="baseline"/>
        <w:rPr>
          <w:rFonts w:ascii="Arial" w:eastAsia="Arial" w:hAnsi="Arial"/>
          <w:color w:val="000000"/>
          <w:sz w:val="20"/>
        </w:rPr>
      </w:pPr>
      <w:proofErr w:type="spellStart"/>
      <w:r>
        <w:rPr>
          <w:rFonts w:ascii="Arial" w:eastAsia="Arial" w:hAnsi="Arial"/>
          <w:color w:val="000000"/>
          <w:sz w:val="20"/>
        </w:rPr>
        <w:t>myMatrixx</w:t>
      </w:r>
      <w:proofErr w:type="spellEnd"/>
      <w:r>
        <w:rPr>
          <w:rFonts w:ascii="Arial" w:eastAsia="Arial" w:hAnsi="Arial"/>
          <w:color w:val="000000"/>
          <w:sz w:val="20"/>
        </w:rPr>
        <w:t xml:space="preserve"> at (877) 804-4900 or at</w:t>
      </w:r>
      <w:hyperlink r:id="rId12">
        <w:r>
          <w:rPr>
            <w:rFonts w:ascii="Arial" w:eastAsia="Arial" w:hAnsi="Arial"/>
            <w:color w:val="0000FF"/>
            <w:sz w:val="20"/>
            <w:u w:val="single"/>
          </w:rPr>
          <w:t xml:space="preserve"> www.myMatrixx.com</w:t>
        </w:r>
      </w:hyperlink>
      <w:r>
        <w:rPr>
          <w:rFonts w:ascii="Arial" w:eastAsia="Arial" w:hAnsi="Arial"/>
          <w:color w:val="0000FF"/>
          <w:sz w:val="20"/>
        </w:rPr>
        <w:t xml:space="preserve"> </w:t>
      </w:r>
    </w:p>
    <w:p w14:paraId="7EC3CEF2" w14:textId="77777777" w:rsidR="00586313" w:rsidRDefault="00EF2F16">
      <w:pPr>
        <w:numPr>
          <w:ilvl w:val="0"/>
          <w:numId w:val="8"/>
        </w:numPr>
        <w:tabs>
          <w:tab w:val="clear" w:pos="288"/>
          <w:tab w:val="left" w:pos="1080"/>
        </w:tabs>
        <w:spacing w:before="226" w:line="229" w:lineRule="exact"/>
        <w:ind w:left="792"/>
        <w:textAlignment w:val="baseline"/>
        <w:rPr>
          <w:rFonts w:ascii="Arial" w:eastAsia="Arial" w:hAnsi="Arial"/>
          <w:color w:val="000000"/>
          <w:sz w:val="20"/>
        </w:rPr>
      </w:pPr>
      <w:r>
        <w:rPr>
          <w:rFonts w:ascii="Arial" w:eastAsia="Arial" w:hAnsi="Arial"/>
          <w:color w:val="000000"/>
          <w:sz w:val="20"/>
        </w:rPr>
        <w:t>Diagnostic Imaging/Electrodiagnostic Testing:</w:t>
      </w:r>
    </w:p>
    <w:p w14:paraId="38E72415" w14:textId="77777777" w:rsidR="00586313" w:rsidRDefault="00EF2F16">
      <w:pPr>
        <w:spacing w:before="2" w:line="229" w:lineRule="exact"/>
        <w:ind w:left="1440"/>
        <w:textAlignment w:val="baseline"/>
        <w:rPr>
          <w:rFonts w:ascii="Arial" w:eastAsia="Arial" w:hAnsi="Arial"/>
          <w:color w:val="000000"/>
          <w:sz w:val="20"/>
        </w:rPr>
      </w:pPr>
      <w:r>
        <w:rPr>
          <w:rFonts w:ascii="Arial" w:eastAsia="Arial" w:hAnsi="Arial"/>
          <w:color w:val="000000"/>
          <w:sz w:val="20"/>
        </w:rPr>
        <w:t>Information regarding the Optum Managed Care Services provider network is available to you at</w:t>
      </w:r>
    </w:p>
    <w:p w14:paraId="1660115F" w14:textId="77777777" w:rsidR="00586313" w:rsidRDefault="002C09A1">
      <w:pPr>
        <w:spacing w:before="1" w:line="229" w:lineRule="exact"/>
        <w:ind w:left="1440"/>
        <w:textAlignment w:val="baseline"/>
        <w:rPr>
          <w:rFonts w:ascii="Arial" w:eastAsia="Arial" w:hAnsi="Arial"/>
          <w:color w:val="000000"/>
          <w:sz w:val="20"/>
        </w:rPr>
      </w:pPr>
      <w:hyperlink r:id="rId13">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7E8737E2"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Durable Medical Equipment:</w:t>
      </w:r>
    </w:p>
    <w:p w14:paraId="2477D928" w14:textId="77777777" w:rsidR="00586313" w:rsidRDefault="00EF2F16">
      <w:pPr>
        <w:spacing w:before="1" w:line="227" w:lineRule="exact"/>
        <w:jc w:val="right"/>
        <w:textAlignment w:val="baseline"/>
        <w:rPr>
          <w:rFonts w:ascii="Arial" w:eastAsia="Arial" w:hAnsi="Arial"/>
          <w:color w:val="000000"/>
          <w:spacing w:val="9"/>
          <w:sz w:val="20"/>
        </w:rPr>
      </w:pPr>
      <w:r>
        <w:rPr>
          <w:rFonts w:ascii="Arial" w:eastAsia="Arial" w:hAnsi="Arial"/>
          <w:color w:val="000000"/>
          <w:spacing w:val="9"/>
          <w:sz w:val="20"/>
        </w:rPr>
        <w:t>Information regarding the Optum Managed Care Services provider network is available to you at</w:t>
      </w:r>
    </w:p>
    <w:p w14:paraId="24D29758" w14:textId="77777777" w:rsidR="00586313" w:rsidRDefault="002C09A1">
      <w:pPr>
        <w:spacing w:line="228" w:lineRule="exact"/>
        <w:ind w:left="1440"/>
        <w:textAlignment w:val="baseline"/>
        <w:rPr>
          <w:rFonts w:ascii="Arial" w:eastAsia="Arial" w:hAnsi="Arial"/>
          <w:color w:val="000000"/>
          <w:sz w:val="20"/>
        </w:rPr>
      </w:pPr>
      <w:hyperlink r:id="rId14">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3E04CD35"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 xml:space="preserve">Services, equipment or </w:t>
      </w:r>
      <w:proofErr w:type="gramStart"/>
      <w:r>
        <w:rPr>
          <w:rFonts w:ascii="Arial" w:eastAsia="Arial" w:hAnsi="Arial"/>
          <w:color w:val="000000"/>
          <w:sz w:val="20"/>
        </w:rPr>
        <w:t>accommodations</w:t>
      </w:r>
      <w:proofErr w:type="gramEnd"/>
      <w:r>
        <w:rPr>
          <w:rFonts w:ascii="Arial" w:eastAsia="Arial" w:hAnsi="Arial"/>
          <w:color w:val="000000"/>
          <w:sz w:val="20"/>
        </w:rPr>
        <w:t xml:space="preserve"> provided by an ambulatory surgery facility.</w:t>
      </w:r>
    </w:p>
    <w:p w14:paraId="5941339C" w14:textId="77777777" w:rsidR="00586313" w:rsidRDefault="00EF2F16">
      <w:pPr>
        <w:spacing w:before="1" w:line="229" w:lineRule="exact"/>
        <w:jc w:val="right"/>
        <w:textAlignment w:val="baseline"/>
        <w:rPr>
          <w:rFonts w:ascii="Arial" w:eastAsia="Arial" w:hAnsi="Arial"/>
          <w:color w:val="000000"/>
          <w:spacing w:val="9"/>
          <w:sz w:val="20"/>
        </w:rPr>
      </w:pPr>
      <w:r>
        <w:rPr>
          <w:rFonts w:ascii="Arial" w:eastAsia="Arial" w:hAnsi="Arial"/>
          <w:color w:val="000000"/>
          <w:spacing w:val="9"/>
          <w:sz w:val="20"/>
        </w:rPr>
        <w:t>Information regarding the Optum Managed Care Services provider network is available to you at</w:t>
      </w:r>
    </w:p>
    <w:p w14:paraId="3565BAD8" w14:textId="77777777" w:rsidR="00586313" w:rsidRDefault="002C09A1">
      <w:pPr>
        <w:spacing w:before="1" w:line="229" w:lineRule="exact"/>
        <w:ind w:left="1440"/>
        <w:textAlignment w:val="baseline"/>
        <w:rPr>
          <w:rFonts w:ascii="Arial" w:eastAsia="Arial" w:hAnsi="Arial"/>
          <w:color w:val="000000"/>
          <w:sz w:val="20"/>
        </w:rPr>
      </w:pPr>
      <w:hyperlink r:id="rId15">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1ABDBBC6" w14:textId="77777777" w:rsidR="00586313" w:rsidRDefault="00EF2F16">
      <w:pPr>
        <w:spacing w:before="230" w:line="231" w:lineRule="exact"/>
        <w:ind w:right="72"/>
        <w:jc w:val="both"/>
        <w:textAlignment w:val="baseline"/>
        <w:rPr>
          <w:rFonts w:ascii="Arial" w:eastAsia="Arial" w:hAnsi="Arial"/>
          <w:color w:val="000000"/>
          <w:sz w:val="20"/>
        </w:rPr>
      </w:pPr>
      <w:r>
        <w:rPr>
          <w:rFonts w:ascii="Arial" w:eastAsia="Arial" w:hAnsi="Arial"/>
          <w:color w:val="000000"/>
          <w:sz w:val="20"/>
        </w:rPr>
        <w:t xml:space="preserve">Information regarding our provider network is available to you at </w:t>
      </w:r>
      <w:hyperlink r:id="rId16">
        <w:r>
          <w:rPr>
            <w:rFonts w:ascii="Arial" w:eastAsia="Arial" w:hAnsi="Arial"/>
            <w:color w:val="0000FF"/>
            <w:sz w:val="20"/>
            <w:u w:val="single"/>
          </w:rPr>
          <w:t>www.workcompauto.optum.com</w:t>
        </w:r>
      </w:hyperlink>
      <w:r w:rsidR="00013757">
        <w:rPr>
          <w:rFonts w:ascii="Arial" w:eastAsia="Arial" w:hAnsi="Arial"/>
          <w:color w:val="000000"/>
          <w:sz w:val="20"/>
        </w:rPr>
        <w:t xml:space="preserve"> or by calling Optum at </w:t>
      </w:r>
      <w:r>
        <w:rPr>
          <w:rFonts w:ascii="Arial" w:eastAsia="Arial" w:hAnsi="Arial"/>
          <w:color w:val="000000"/>
          <w:sz w:val="20"/>
        </w:rPr>
        <w:t xml:space="preserve">800-275-9485. Our provider network includes Optum providers as well as the </w:t>
      </w:r>
      <w:proofErr w:type="spellStart"/>
      <w:r>
        <w:rPr>
          <w:rFonts w:ascii="Arial" w:eastAsia="Arial" w:hAnsi="Arial"/>
          <w:color w:val="000000"/>
          <w:sz w:val="20"/>
        </w:rPr>
        <w:t>Magnacare</w:t>
      </w:r>
      <w:proofErr w:type="spellEnd"/>
      <w:r>
        <w:rPr>
          <w:rFonts w:ascii="Arial" w:eastAsia="Arial" w:hAnsi="Arial"/>
          <w:color w:val="000000"/>
          <w:sz w:val="20"/>
        </w:rPr>
        <w:t xml:space="preserve"> Network.</w:t>
      </w:r>
    </w:p>
    <w:p w14:paraId="7BD96375" w14:textId="77777777" w:rsidR="00586313" w:rsidRDefault="00EF2F16">
      <w:pPr>
        <w:spacing w:before="231" w:line="230" w:lineRule="exact"/>
        <w:textAlignment w:val="baseline"/>
        <w:rPr>
          <w:rFonts w:ascii="Arial" w:eastAsia="Arial" w:hAnsi="Arial"/>
          <w:b/>
          <w:color w:val="000000"/>
          <w:sz w:val="20"/>
        </w:rPr>
      </w:pPr>
      <w:r>
        <w:rPr>
          <w:rFonts w:ascii="Arial" w:eastAsia="Arial" w:hAnsi="Arial"/>
          <w:b/>
          <w:color w:val="000000"/>
          <w:sz w:val="20"/>
        </w:rPr>
        <w:t>PREFERRED PROVIDER ORGANIZATION (PPO)</w:t>
      </w:r>
    </w:p>
    <w:p w14:paraId="5DC9791C" w14:textId="77777777" w:rsidR="00586313" w:rsidRDefault="00EF2F16">
      <w:pPr>
        <w:spacing w:before="229" w:line="229" w:lineRule="exact"/>
        <w:textAlignment w:val="baseline"/>
        <w:rPr>
          <w:rFonts w:ascii="Arial" w:eastAsia="Arial" w:hAnsi="Arial"/>
          <w:color w:val="000000"/>
          <w:sz w:val="20"/>
        </w:rPr>
      </w:pPr>
      <w:r>
        <w:rPr>
          <w:rFonts w:ascii="Arial" w:eastAsia="Arial" w:hAnsi="Arial"/>
          <w:color w:val="000000"/>
          <w:sz w:val="20"/>
        </w:rPr>
        <w:t xml:space="preserve">In addition, Optum makes available a Preferred Provider Organization (PPO) that includes all specialties, hospitals, outpatient and urgent care facilities. The use of a provider from our PPO is strictly voluntary and is provided as a service to you. A penalty co-payment will not be applied if you choose to select a provider outside this preferred provider network. Optum’s preferred providers have facilities located throughout the state. Information regarding our PPO network is available to you at </w:t>
      </w:r>
      <w:hyperlink r:id="rId17">
        <w:r>
          <w:rPr>
            <w:rFonts w:ascii="Arial" w:eastAsia="Arial" w:hAnsi="Arial"/>
            <w:color w:val="0000FF"/>
            <w:sz w:val="20"/>
            <w:u w:val="single"/>
          </w:rPr>
          <w:t>www.workcompauto.optum.com</w:t>
        </w:r>
      </w:hyperlink>
      <w:r>
        <w:rPr>
          <w:rFonts w:ascii="Arial" w:eastAsia="Arial" w:hAnsi="Arial"/>
          <w:color w:val="000000"/>
          <w:sz w:val="20"/>
        </w:rPr>
        <w:t xml:space="preserve"> or by calling at (800) 275-9485. Our PPO Network includes Optum Managed Care Services providers as well as the </w:t>
      </w:r>
      <w:proofErr w:type="spellStart"/>
      <w:r>
        <w:rPr>
          <w:rFonts w:ascii="Arial" w:eastAsia="Arial" w:hAnsi="Arial"/>
          <w:color w:val="000000"/>
          <w:sz w:val="20"/>
        </w:rPr>
        <w:t>Magnacare</w:t>
      </w:r>
      <w:proofErr w:type="spellEnd"/>
      <w:r>
        <w:rPr>
          <w:rFonts w:ascii="Arial" w:eastAsia="Arial" w:hAnsi="Arial"/>
          <w:color w:val="000000"/>
          <w:sz w:val="20"/>
        </w:rPr>
        <w:t xml:space="preserve"> Network.</w:t>
      </w:r>
    </w:p>
    <w:p w14:paraId="15381FE2" w14:textId="77777777" w:rsidR="00586313" w:rsidRDefault="00EF2F16">
      <w:pPr>
        <w:spacing w:before="231" w:line="230" w:lineRule="exact"/>
        <w:textAlignment w:val="baseline"/>
        <w:rPr>
          <w:rFonts w:ascii="Arial" w:eastAsia="Arial" w:hAnsi="Arial"/>
          <w:b/>
          <w:color w:val="000000"/>
          <w:spacing w:val="-1"/>
          <w:sz w:val="20"/>
        </w:rPr>
      </w:pPr>
      <w:r>
        <w:rPr>
          <w:rFonts w:ascii="Arial" w:eastAsia="Arial" w:hAnsi="Arial"/>
          <w:b/>
          <w:color w:val="000000"/>
          <w:spacing w:val="-1"/>
          <w:sz w:val="20"/>
        </w:rPr>
        <w:t>PENALTY</w:t>
      </w:r>
    </w:p>
    <w:p w14:paraId="252BEC7B" w14:textId="77777777" w:rsidR="00586313" w:rsidRDefault="00EF2F16">
      <w:pPr>
        <w:spacing w:before="237" w:line="230" w:lineRule="exact"/>
        <w:ind w:right="72"/>
        <w:jc w:val="both"/>
        <w:textAlignment w:val="baseline"/>
        <w:rPr>
          <w:rFonts w:ascii="Arial" w:eastAsia="Arial" w:hAnsi="Arial"/>
          <w:color w:val="000000"/>
          <w:sz w:val="20"/>
        </w:rPr>
      </w:pPr>
      <w:r>
        <w:rPr>
          <w:rFonts w:ascii="Arial" w:eastAsia="Arial" w:hAnsi="Arial"/>
          <w:color w:val="000000"/>
          <w:sz w:val="20"/>
        </w:rPr>
        <w:t>As outlined in N.J.A.C. 11:3-4.4 (d), failure to request Decision Point Review or Precertification as required in our Decision Point Review / Precertification plan will result in a 50% penalty copayment. This co-payment penalty will be in addition to any co-payment stated in the schedule of your policy. Failure to submit clinically supported findings that support your decision point review or precertification request will result in a 50% copayment penalty. Failure to use an approved network provider for Prescription Drugs, Diagnostic Imaging/Electro diagnostic Testing, DME, and services, equipment or accommodations provided by an ambulatory surgery facility will result in a 30% penalty copayment. All penalty copayments will be applied before the application of the policy copayment and deductible.</w:t>
      </w:r>
    </w:p>
    <w:p w14:paraId="211BFA2F" w14:textId="77777777" w:rsidR="00586313" w:rsidRDefault="00EF2F16">
      <w:pPr>
        <w:spacing w:before="227" w:line="230" w:lineRule="exact"/>
        <w:textAlignment w:val="baseline"/>
        <w:rPr>
          <w:rFonts w:ascii="Arial" w:eastAsia="Arial" w:hAnsi="Arial"/>
          <w:b/>
          <w:color w:val="000000"/>
          <w:sz w:val="20"/>
        </w:rPr>
      </w:pPr>
      <w:r>
        <w:rPr>
          <w:rFonts w:ascii="Arial" w:eastAsia="Arial" w:hAnsi="Arial"/>
          <w:b/>
          <w:color w:val="000000"/>
          <w:sz w:val="20"/>
        </w:rPr>
        <w:t>ASSIGNMENT OF BENEFITS</w:t>
      </w:r>
    </w:p>
    <w:p w14:paraId="4959AC33" w14:textId="77777777" w:rsidR="00586313" w:rsidRDefault="00EF2F16">
      <w:pPr>
        <w:spacing w:before="229" w:line="231" w:lineRule="exact"/>
        <w:jc w:val="both"/>
        <w:textAlignment w:val="baseline"/>
        <w:rPr>
          <w:rFonts w:ascii="Arial" w:eastAsia="Arial" w:hAnsi="Arial"/>
          <w:color w:val="000000"/>
          <w:sz w:val="20"/>
        </w:rPr>
      </w:pPr>
      <w:r>
        <w:rPr>
          <w:rFonts w:ascii="Arial" w:eastAsia="Arial" w:hAnsi="Arial"/>
          <w:color w:val="000000"/>
          <w:sz w:val="20"/>
        </w:rPr>
        <w:t xml:space="preserve">Assignment of a named </w:t>
      </w:r>
      <w:proofErr w:type="gramStart"/>
      <w:r>
        <w:rPr>
          <w:rFonts w:ascii="Arial" w:eastAsia="Arial" w:hAnsi="Arial"/>
          <w:color w:val="000000"/>
          <w:sz w:val="20"/>
        </w:rPr>
        <w:t>insured’s</w:t>
      </w:r>
      <w:proofErr w:type="gramEnd"/>
      <w:r>
        <w:rPr>
          <w:rFonts w:ascii="Arial" w:eastAsia="Arial" w:hAnsi="Arial"/>
          <w:color w:val="000000"/>
          <w:sz w:val="20"/>
        </w:rPr>
        <w:t xml:space="preserve"> or injured party’s rights to receive benefits for medically necessary treatment, DME tests or other services is prohibited except to a licensed health care provider who agrees to:</w:t>
      </w:r>
    </w:p>
    <w:p w14:paraId="102FF32D" w14:textId="77777777" w:rsidR="00586313" w:rsidRDefault="00EF2F16">
      <w:pPr>
        <w:numPr>
          <w:ilvl w:val="0"/>
          <w:numId w:val="9"/>
        </w:numPr>
        <w:tabs>
          <w:tab w:val="clear" w:pos="648"/>
          <w:tab w:val="left" w:pos="1440"/>
        </w:tabs>
        <w:spacing w:before="462" w:line="229" w:lineRule="exact"/>
        <w:ind w:left="1440" w:hanging="648"/>
        <w:textAlignment w:val="baseline"/>
        <w:rPr>
          <w:rFonts w:ascii="Arial" w:eastAsia="Arial" w:hAnsi="Arial"/>
          <w:color w:val="000000"/>
          <w:sz w:val="20"/>
        </w:rPr>
      </w:pPr>
      <w:r>
        <w:rPr>
          <w:rFonts w:ascii="Arial" w:eastAsia="Arial" w:hAnsi="Arial"/>
          <w:color w:val="000000"/>
          <w:sz w:val="20"/>
        </w:rPr>
        <w:t>Fully comply with the Insurer’s DPR Plan, including precertification requirements,</w:t>
      </w:r>
    </w:p>
    <w:p w14:paraId="1A90C63D" w14:textId="77777777" w:rsidR="00586313" w:rsidRDefault="00EF2F16">
      <w:pPr>
        <w:numPr>
          <w:ilvl w:val="0"/>
          <w:numId w:val="9"/>
        </w:numPr>
        <w:tabs>
          <w:tab w:val="clear" w:pos="648"/>
          <w:tab w:val="left" w:pos="1440"/>
        </w:tabs>
        <w:spacing w:before="1" w:line="229" w:lineRule="exact"/>
        <w:ind w:left="1440" w:hanging="648"/>
        <w:textAlignment w:val="baseline"/>
        <w:rPr>
          <w:rFonts w:ascii="Arial" w:eastAsia="Arial" w:hAnsi="Arial"/>
          <w:color w:val="000000"/>
          <w:sz w:val="20"/>
        </w:rPr>
      </w:pPr>
      <w:r>
        <w:rPr>
          <w:rFonts w:ascii="Arial" w:eastAsia="Arial" w:hAnsi="Arial"/>
          <w:color w:val="000000"/>
          <w:sz w:val="20"/>
        </w:rPr>
        <w:t xml:space="preserve">Comply with the terms and conditions of the Insurers </w:t>
      </w:r>
      <w:proofErr w:type="gramStart"/>
      <w:r>
        <w:rPr>
          <w:rFonts w:ascii="Arial" w:eastAsia="Arial" w:hAnsi="Arial"/>
          <w:color w:val="000000"/>
          <w:sz w:val="20"/>
        </w:rPr>
        <w:t>policy</w:t>
      </w:r>
      <w:proofErr w:type="gramEnd"/>
    </w:p>
    <w:p w14:paraId="3F11D12D" w14:textId="77777777" w:rsidR="00586313" w:rsidRDefault="00EF2F16">
      <w:pPr>
        <w:numPr>
          <w:ilvl w:val="0"/>
          <w:numId w:val="9"/>
        </w:numPr>
        <w:tabs>
          <w:tab w:val="clear" w:pos="648"/>
          <w:tab w:val="left" w:pos="1440"/>
        </w:tabs>
        <w:spacing w:before="2" w:line="227" w:lineRule="exact"/>
        <w:ind w:left="1440" w:hanging="648"/>
        <w:textAlignment w:val="baseline"/>
        <w:rPr>
          <w:rFonts w:ascii="Arial" w:eastAsia="Arial" w:hAnsi="Arial"/>
          <w:color w:val="000000"/>
          <w:sz w:val="20"/>
        </w:rPr>
      </w:pPr>
      <w:r>
        <w:rPr>
          <w:rFonts w:ascii="Arial" w:eastAsia="Arial" w:hAnsi="Arial"/>
          <w:color w:val="000000"/>
          <w:sz w:val="20"/>
        </w:rPr>
        <w:t>Provide complete and legible medical records or other pertinent information when requested by us,</w:t>
      </w:r>
    </w:p>
    <w:p w14:paraId="29927BF9" w14:textId="77777777" w:rsidR="00586313" w:rsidRDefault="00EF2F16">
      <w:pPr>
        <w:numPr>
          <w:ilvl w:val="0"/>
          <w:numId w:val="9"/>
        </w:numPr>
        <w:tabs>
          <w:tab w:val="clear" w:pos="648"/>
          <w:tab w:val="left" w:pos="1440"/>
        </w:tabs>
        <w:spacing w:line="229" w:lineRule="exact"/>
        <w:ind w:left="1440" w:hanging="648"/>
        <w:jc w:val="both"/>
        <w:textAlignment w:val="baseline"/>
        <w:rPr>
          <w:rFonts w:ascii="Arial" w:eastAsia="Arial" w:hAnsi="Arial"/>
          <w:color w:val="000000"/>
          <w:sz w:val="20"/>
        </w:rPr>
      </w:pPr>
      <w:r>
        <w:rPr>
          <w:rFonts w:ascii="Arial" w:eastAsia="Arial" w:hAnsi="Arial"/>
          <w:color w:val="000000"/>
          <w:sz w:val="20"/>
        </w:rPr>
        <w:t>Complete the “internal appeals process” which shall be a condition precedent to the filing of a demand for alternative dispute resolution for any issue related to bill payment, bill processing, Decision Point Review</w:t>
      </w:r>
    </w:p>
    <w:p w14:paraId="73AAC403" w14:textId="77777777" w:rsidR="00586313" w:rsidRDefault="00EF2F16">
      <w:pPr>
        <w:spacing w:before="95" w:line="273" w:lineRule="exact"/>
        <w:jc w:val="center"/>
        <w:textAlignment w:val="baseline"/>
        <w:rPr>
          <w:rFonts w:eastAsia="Times New Roman"/>
          <w:color w:val="000000"/>
          <w:sz w:val="24"/>
        </w:rPr>
      </w:pPr>
      <w:r>
        <w:rPr>
          <w:rFonts w:eastAsia="Times New Roman"/>
          <w:color w:val="000000"/>
          <w:sz w:val="24"/>
        </w:rPr>
        <w:t>6</w:t>
      </w:r>
    </w:p>
    <w:p w14:paraId="792EAF02" w14:textId="77777777" w:rsidR="00586313" w:rsidRDefault="00586313">
      <w:pPr>
        <w:sectPr w:rsidR="00586313">
          <w:pgSz w:w="12240" w:h="15840"/>
          <w:pgMar w:top="720" w:right="697" w:bottom="324" w:left="703" w:header="720" w:footer="720" w:gutter="0"/>
          <w:cols w:space="720"/>
        </w:sectPr>
      </w:pPr>
    </w:p>
    <w:p w14:paraId="0EFCCCC0" w14:textId="77777777" w:rsidR="00586313" w:rsidRDefault="00EF2F16">
      <w:pPr>
        <w:spacing w:before="3" w:line="230" w:lineRule="exact"/>
        <w:ind w:left="1440"/>
        <w:textAlignment w:val="baseline"/>
        <w:rPr>
          <w:rFonts w:ascii="Arial" w:eastAsia="Arial" w:hAnsi="Arial"/>
          <w:color w:val="000000"/>
          <w:spacing w:val="2"/>
          <w:sz w:val="20"/>
        </w:rPr>
      </w:pPr>
      <w:r>
        <w:rPr>
          <w:rFonts w:ascii="Arial" w:eastAsia="Arial" w:hAnsi="Arial"/>
          <w:color w:val="000000"/>
          <w:spacing w:val="2"/>
          <w:sz w:val="20"/>
        </w:rPr>
        <w:lastRenderedPageBreak/>
        <w:t xml:space="preserve">Request or Precertification request. Completion of the internal appeal process means timely submission of an appeal and receipt of the response prior to filing for alternate dispute resolution. Except for emergency care as defined in N.J.A.C. 11:3-4.2, any treatment that is the subject of the appeal that is performed prior to the receipt by the provider of the appeal decision shall invalidate the assignment of </w:t>
      </w:r>
      <w:proofErr w:type="gramStart"/>
      <w:r>
        <w:rPr>
          <w:rFonts w:ascii="Arial" w:eastAsia="Arial" w:hAnsi="Arial"/>
          <w:color w:val="000000"/>
          <w:spacing w:val="2"/>
          <w:sz w:val="20"/>
        </w:rPr>
        <w:t>benefits</w:t>
      </w:r>
      <w:proofErr w:type="gramEnd"/>
    </w:p>
    <w:p w14:paraId="1347A051" w14:textId="41D06AE0" w:rsidR="00586313" w:rsidRPr="00D53EBB" w:rsidRDefault="00EF2F16" w:rsidP="00D53EBB">
      <w:pPr>
        <w:pStyle w:val="ListParagraph"/>
        <w:numPr>
          <w:ilvl w:val="0"/>
          <w:numId w:val="9"/>
        </w:numPr>
        <w:tabs>
          <w:tab w:val="left" w:pos="720"/>
          <w:tab w:val="left" w:pos="1440"/>
        </w:tabs>
        <w:spacing w:line="230" w:lineRule="exact"/>
        <w:textAlignment w:val="baseline"/>
        <w:rPr>
          <w:rFonts w:ascii="Arial" w:eastAsia="Arial" w:hAnsi="Arial"/>
          <w:color w:val="000000"/>
          <w:sz w:val="20"/>
        </w:rPr>
      </w:pPr>
      <w:r w:rsidRPr="00D53EBB">
        <w:rPr>
          <w:rFonts w:ascii="Arial" w:eastAsia="Arial" w:hAnsi="Arial"/>
          <w:color w:val="000000"/>
          <w:sz w:val="20"/>
        </w:rPr>
        <w:t>Submit disputes to alternative dispute resolution pursuant to N.J.A.C. 11:3-5</w:t>
      </w:r>
    </w:p>
    <w:p w14:paraId="3DDE109A" w14:textId="77777777" w:rsidR="00586313" w:rsidRDefault="00EF2F16" w:rsidP="00D53EBB">
      <w:pPr>
        <w:numPr>
          <w:ilvl w:val="0"/>
          <w:numId w:val="9"/>
        </w:numPr>
        <w:tabs>
          <w:tab w:val="left" w:pos="1440"/>
        </w:tabs>
        <w:spacing w:before="1" w:line="230" w:lineRule="exact"/>
        <w:ind w:left="720"/>
        <w:textAlignment w:val="baseline"/>
        <w:rPr>
          <w:rFonts w:ascii="Arial" w:eastAsia="Arial" w:hAnsi="Arial"/>
          <w:color w:val="000000"/>
          <w:sz w:val="20"/>
        </w:rPr>
      </w:pPr>
      <w:r>
        <w:rPr>
          <w:rFonts w:ascii="Arial" w:eastAsia="Arial" w:hAnsi="Arial"/>
          <w:color w:val="000000"/>
          <w:sz w:val="20"/>
        </w:rPr>
        <w:t xml:space="preserve">Submit to statements or examinations under oath as often as deemed reasonable and </w:t>
      </w:r>
      <w:proofErr w:type="gramStart"/>
      <w:r>
        <w:rPr>
          <w:rFonts w:ascii="Arial" w:eastAsia="Arial" w:hAnsi="Arial"/>
          <w:color w:val="000000"/>
          <w:sz w:val="20"/>
        </w:rPr>
        <w:t>necessary</w:t>
      </w:r>
      <w:proofErr w:type="gramEnd"/>
    </w:p>
    <w:p w14:paraId="0B2FC13C" w14:textId="77777777" w:rsidR="00586313"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Failure by the health care provider to comply with all the foregoing requirements will render any prior assignment of benefits under </w:t>
      </w:r>
      <w:proofErr w:type="gramStart"/>
      <w:r>
        <w:rPr>
          <w:rFonts w:ascii="Arial" w:eastAsia="Arial" w:hAnsi="Arial"/>
          <w:color w:val="000000"/>
          <w:sz w:val="20"/>
        </w:rPr>
        <w:t>Insurer’s</w:t>
      </w:r>
      <w:proofErr w:type="gramEnd"/>
      <w:r>
        <w:rPr>
          <w:rFonts w:ascii="Arial" w:eastAsia="Arial" w:hAnsi="Arial"/>
          <w:color w:val="000000"/>
          <w:sz w:val="20"/>
        </w:rPr>
        <w:t xml:space="preserve"> policy null and void. Should the provider accept direct payment of benefits, the provider is required to hold harmless the insured and Insurer for any reduction of payment for services caused by the provider’s failure to comply with the terms of the insured's policy.</w:t>
      </w:r>
    </w:p>
    <w:p w14:paraId="4214D3BE" w14:textId="77777777" w:rsidR="00586313" w:rsidRDefault="00EF2F16">
      <w:pPr>
        <w:spacing w:before="227" w:line="229" w:lineRule="exact"/>
        <w:textAlignment w:val="baseline"/>
        <w:rPr>
          <w:rFonts w:ascii="Arial" w:eastAsia="Arial" w:hAnsi="Arial"/>
          <w:b/>
          <w:color w:val="000000"/>
          <w:spacing w:val="-1"/>
          <w:sz w:val="20"/>
        </w:rPr>
      </w:pPr>
      <w:r>
        <w:rPr>
          <w:rFonts w:ascii="Arial" w:eastAsia="Arial" w:hAnsi="Arial"/>
          <w:b/>
          <w:color w:val="000000"/>
          <w:spacing w:val="-1"/>
          <w:sz w:val="20"/>
        </w:rPr>
        <w:t>INTERNAL APPEAL PROCESS</w:t>
      </w:r>
    </w:p>
    <w:p w14:paraId="340BFBA9" w14:textId="77777777" w:rsidR="00586313" w:rsidRDefault="00EF2F16">
      <w:pPr>
        <w:spacing w:before="231" w:line="230" w:lineRule="exact"/>
        <w:ind w:right="360"/>
        <w:textAlignment w:val="baseline"/>
        <w:rPr>
          <w:rFonts w:ascii="Arial" w:eastAsia="Arial" w:hAnsi="Arial"/>
          <w:color w:val="000000"/>
          <w:sz w:val="20"/>
        </w:rPr>
      </w:pPr>
      <w:r>
        <w:rPr>
          <w:rFonts w:ascii="Arial" w:eastAsia="Arial" w:hAnsi="Arial"/>
          <w:color w:val="000000"/>
          <w:sz w:val="20"/>
        </w:rPr>
        <w:t>The internal appeals process shall permit a health care provider who has been assigned benefits pursuant to N.J.A.C. 11:3-4.9, or has a power of attorney from the injured party, to participate in the internal appeals process for</w:t>
      </w:r>
    </w:p>
    <w:p w14:paraId="4AC261DA"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reconsideration of an adverse decision.</w:t>
      </w:r>
    </w:p>
    <w:p w14:paraId="1E30D1C6" w14:textId="77777777" w:rsidR="00586313" w:rsidRDefault="00EF2F16">
      <w:pPr>
        <w:spacing w:before="233" w:line="230" w:lineRule="exact"/>
        <w:ind w:right="72"/>
        <w:textAlignment w:val="baseline"/>
        <w:rPr>
          <w:rFonts w:ascii="Arial" w:eastAsia="Arial" w:hAnsi="Arial"/>
          <w:color w:val="000000"/>
          <w:sz w:val="20"/>
        </w:rPr>
      </w:pPr>
      <w:r>
        <w:rPr>
          <w:rFonts w:ascii="Arial" w:eastAsia="Arial" w:hAnsi="Arial"/>
          <w:color w:val="000000"/>
          <w:sz w:val="20"/>
        </w:rPr>
        <w:t xml:space="preserve">All internal appeals shall be filed using the form established by the Department by Order in accordance with N.J.A.C. 11:3-4.7(d). A properly submitted appeal form must be completed, including, but not limited to the minimum required fields as indicated by an asterisk (*). Further, an appeal rationale narrative is required to be included within these forms. Failure to comply with these requirements will result in an administrative denial of the appeal. The appeal form and all supporting documentation must be submitted by the health care provider to </w:t>
      </w:r>
      <w:r w:rsidRPr="00013757">
        <w:rPr>
          <w:rFonts w:ascii="Arial" w:eastAsia="Arial" w:hAnsi="Arial"/>
          <w:strike/>
          <w:color w:val="000000"/>
          <w:sz w:val="20"/>
        </w:rPr>
        <w:t>Optum at</w:t>
      </w:r>
      <w:r>
        <w:rPr>
          <w:rFonts w:ascii="Arial" w:eastAsia="Arial" w:hAnsi="Arial"/>
          <w:color w:val="000000"/>
          <w:sz w:val="20"/>
        </w:rPr>
        <w:t xml:space="preserve"> the a</w:t>
      </w:r>
      <w:r w:rsidR="00013757">
        <w:rPr>
          <w:rFonts w:ascii="Arial" w:eastAsia="Arial" w:hAnsi="Arial"/>
          <w:color w:val="000000"/>
          <w:sz w:val="20"/>
        </w:rPr>
        <w:t>ddress, fax number or website d</w:t>
      </w:r>
      <w:r>
        <w:rPr>
          <w:rFonts w:ascii="Arial" w:eastAsia="Arial" w:hAnsi="Arial"/>
          <w:color w:val="000000"/>
          <w:sz w:val="20"/>
        </w:rPr>
        <w:t>esignated for appeals as follows:</w:t>
      </w:r>
    </w:p>
    <w:p w14:paraId="51EC49C8" w14:textId="344D7E2C" w:rsidR="00013757" w:rsidRPr="002C09A1" w:rsidRDefault="00013757" w:rsidP="00013757">
      <w:pPr>
        <w:spacing w:before="229" w:line="230" w:lineRule="exact"/>
        <w:textAlignment w:val="baseline"/>
        <w:rPr>
          <w:rFonts w:ascii="Arial" w:hAnsi="Arial" w:cs="Arial"/>
          <w:sz w:val="20"/>
          <w:szCs w:val="20"/>
        </w:rPr>
      </w:pPr>
      <w:r w:rsidRPr="002C09A1">
        <w:rPr>
          <w:rFonts w:ascii="Arial" w:hAnsi="Arial" w:cs="Arial"/>
          <w:sz w:val="20"/>
          <w:szCs w:val="20"/>
        </w:rPr>
        <w:t xml:space="preserve">Pre-service appeal form and any supporting documentation shall be submitted by the provider to </w:t>
      </w:r>
      <w:proofErr w:type="spellStart"/>
      <w:r w:rsidRPr="002C09A1">
        <w:rPr>
          <w:rFonts w:ascii="Arial" w:hAnsi="Arial" w:cs="Arial"/>
          <w:sz w:val="20"/>
          <w:szCs w:val="20"/>
        </w:rPr>
        <w:t>Medlogix</w:t>
      </w:r>
      <w:proofErr w:type="spellEnd"/>
      <w:r w:rsidRPr="002C09A1">
        <w:rPr>
          <w:rFonts w:ascii="Arial" w:hAnsi="Arial" w:cs="Arial"/>
          <w:sz w:val="20"/>
          <w:szCs w:val="20"/>
        </w:rPr>
        <w:t xml:space="preserve"> via fax @ (856) 910-2501 or in writing @ 300 American Metro Blvd., Suite 220, Hamilton, NJ 08619</w:t>
      </w:r>
    </w:p>
    <w:p w14:paraId="70D767FA" w14:textId="359B15A1" w:rsidR="00013757" w:rsidRPr="002C09A1" w:rsidRDefault="00013757" w:rsidP="00013757">
      <w:pPr>
        <w:spacing w:before="229" w:line="230" w:lineRule="exact"/>
        <w:textAlignment w:val="baseline"/>
        <w:rPr>
          <w:rFonts w:ascii="Arial" w:hAnsi="Arial" w:cs="Arial"/>
          <w:sz w:val="20"/>
          <w:szCs w:val="20"/>
        </w:rPr>
      </w:pPr>
      <w:r w:rsidRPr="002C09A1">
        <w:rPr>
          <w:rFonts w:ascii="Arial" w:hAnsi="Arial" w:cs="Arial"/>
          <w:sz w:val="20"/>
          <w:szCs w:val="20"/>
        </w:rPr>
        <w:t xml:space="preserve">Post-service appeal form and any supporting documentation shall be submitted by the provider to Cincinnati Insurance Company </w:t>
      </w:r>
      <w:r w:rsidRPr="002C09A1">
        <w:rPr>
          <w:rFonts w:ascii="Arial" w:eastAsia="Times New Roman" w:hAnsi="Arial" w:cs="Arial"/>
          <w:sz w:val="20"/>
          <w:szCs w:val="20"/>
          <w14:ligatures w14:val="standardContextual"/>
        </w:rPr>
        <w:t>PO Box 929, Canonsburg PA 15317</w:t>
      </w:r>
    </w:p>
    <w:p w14:paraId="2E04D56F" w14:textId="77777777" w:rsidR="00586313" w:rsidRPr="002C09A1" w:rsidRDefault="00EF2F16">
      <w:pPr>
        <w:spacing w:before="230" w:line="230" w:lineRule="exact"/>
        <w:textAlignment w:val="baseline"/>
        <w:rPr>
          <w:rFonts w:ascii="Arial" w:eastAsia="Arial" w:hAnsi="Arial"/>
          <w:color w:val="000000"/>
          <w:sz w:val="20"/>
        </w:rPr>
      </w:pPr>
      <w:r w:rsidRPr="002C09A1">
        <w:rPr>
          <w:rFonts w:ascii="Arial" w:eastAsia="Arial" w:hAnsi="Arial"/>
          <w:color w:val="000000"/>
          <w:sz w:val="20"/>
        </w:rPr>
        <w:t>There are two types of internal appeals:</w:t>
      </w:r>
    </w:p>
    <w:p w14:paraId="0A7CBF7F" w14:textId="77777777" w:rsidR="00586313" w:rsidRDefault="00EF2F16">
      <w:pPr>
        <w:numPr>
          <w:ilvl w:val="0"/>
          <w:numId w:val="11"/>
        </w:numPr>
        <w:tabs>
          <w:tab w:val="clear" w:pos="288"/>
          <w:tab w:val="left" w:pos="1440"/>
        </w:tabs>
        <w:spacing w:before="2" w:line="230" w:lineRule="exact"/>
        <w:ind w:left="1440" w:right="288" w:hanging="288"/>
        <w:textAlignment w:val="baseline"/>
        <w:rPr>
          <w:rFonts w:ascii="Arial" w:eastAsia="Arial" w:hAnsi="Arial"/>
          <w:color w:val="000000"/>
          <w:sz w:val="20"/>
        </w:rPr>
      </w:pPr>
      <w:r>
        <w:rPr>
          <w:rFonts w:ascii="Arial" w:eastAsia="Arial" w:hAnsi="Arial"/>
          <w:color w:val="000000"/>
          <w:sz w:val="20"/>
        </w:rPr>
        <w:t>Pre-service: Appeals of decision point review and/or precertification denials or modifications prior to the performance or issuance of the requested medical procedure, treatment, diagnostic test, other service and/or durable medical equipment (collectively known as "services”)</w:t>
      </w:r>
    </w:p>
    <w:p w14:paraId="6ECB1924" w14:textId="77777777" w:rsidR="00586313" w:rsidRDefault="00EF2F16">
      <w:pPr>
        <w:numPr>
          <w:ilvl w:val="0"/>
          <w:numId w:val="11"/>
        </w:numPr>
        <w:tabs>
          <w:tab w:val="clear" w:pos="288"/>
          <w:tab w:val="left" w:pos="1440"/>
        </w:tabs>
        <w:spacing w:before="226" w:line="230" w:lineRule="exact"/>
        <w:ind w:left="1440" w:hanging="288"/>
        <w:textAlignment w:val="baseline"/>
        <w:rPr>
          <w:rFonts w:ascii="Arial" w:eastAsia="Arial" w:hAnsi="Arial"/>
          <w:color w:val="000000"/>
          <w:sz w:val="20"/>
        </w:rPr>
      </w:pPr>
      <w:r>
        <w:rPr>
          <w:rFonts w:ascii="Arial" w:eastAsia="Arial" w:hAnsi="Arial"/>
          <w:color w:val="000000"/>
          <w:sz w:val="20"/>
        </w:rPr>
        <w:t xml:space="preserve">Post-service: Appeals subsequent to the performance or issuance of the </w:t>
      </w:r>
      <w:proofErr w:type="gramStart"/>
      <w:r>
        <w:rPr>
          <w:rFonts w:ascii="Arial" w:eastAsia="Arial" w:hAnsi="Arial"/>
          <w:color w:val="000000"/>
          <w:sz w:val="20"/>
        </w:rPr>
        <w:t>services</w:t>
      </w:r>
      <w:proofErr w:type="gramEnd"/>
    </w:p>
    <w:p w14:paraId="00906827" w14:textId="77777777" w:rsidR="00586313" w:rsidRDefault="00EF2F16">
      <w:pPr>
        <w:spacing w:before="231" w:line="230" w:lineRule="exact"/>
        <w:ind w:right="144"/>
        <w:jc w:val="both"/>
        <w:textAlignment w:val="baseline"/>
        <w:rPr>
          <w:rFonts w:ascii="Arial" w:eastAsia="Arial" w:hAnsi="Arial"/>
          <w:color w:val="000000"/>
          <w:sz w:val="20"/>
        </w:rPr>
      </w:pPr>
      <w:r>
        <w:rPr>
          <w:rFonts w:ascii="Arial" w:eastAsia="Arial" w:hAnsi="Arial"/>
          <w:color w:val="000000"/>
          <w:sz w:val="20"/>
        </w:rPr>
        <w:t>Pursuant to N.J.A.C. 11:3-4.7B(b), each issue shall only be required to receive one internal appeal review, by the insurer prior to making a request for alternate dispute resolution.</w:t>
      </w:r>
    </w:p>
    <w:p w14:paraId="23EA6D89" w14:textId="77777777" w:rsidR="00013757" w:rsidRDefault="00013757">
      <w:pPr>
        <w:spacing w:before="227" w:line="230" w:lineRule="exact"/>
        <w:textAlignment w:val="baseline"/>
        <w:rPr>
          <w:rFonts w:ascii="Arial" w:eastAsia="Arial" w:hAnsi="Arial"/>
          <w:b/>
          <w:color w:val="000000"/>
          <w:spacing w:val="-1"/>
          <w:sz w:val="20"/>
          <w:u w:val="single"/>
        </w:rPr>
      </w:pPr>
    </w:p>
    <w:p w14:paraId="7378DA3D" w14:textId="33BFD231" w:rsidR="00EF2F16" w:rsidRPr="002C09A1" w:rsidRDefault="00EF2F16">
      <w:pPr>
        <w:spacing w:before="227" w:line="230" w:lineRule="exact"/>
        <w:textAlignment w:val="baseline"/>
        <w:rPr>
          <w:rFonts w:ascii="Arial" w:hAnsi="Arial" w:cs="Arial"/>
          <w:sz w:val="20"/>
          <w:szCs w:val="20"/>
        </w:rPr>
      </w:pPr>
      <w:r w:rsidRPr="00EF2F16">
        <w:rPr>
          <w:rFonts w:ascii="Arial" w:hAnsi="Arial" w:cs="Arial"/>
          <w:b/>
          <w:sz w:val="20"/>
          <w:szCs w:val="20"/>
          <w:u w:val="single"/>
        </w:rPr>
        <w:t>Pre-service Appeals</w:t>
      </w:r>
      <w:r w:rsidRPr="00EF2F16">
        <w:rPr>
          <w:rFonts w:ascii="Arial" w:hAnsi="Arial" w:cs="Arial"/>
          <w:sz w:val="20"/>
          <w:szCs w:val="20"/>
        </w:rPr>
        <w:t xml:space="preserve"> A pre-service appeal shall be submitted in wr</w:t>
      </w:r>
      <w:r w:rsidRPr="002C09A1">
        <w:rPr>
          <w:rFonts w:ascii="Arial" w:hAnsi="Arial" w:cs="Arial"/>
          <w:sz w:val="20"/>
          <w:szCs w:val="20"/>
        </w:rPr>
        <w:t xml:space="preserve">iting to </w:t>
      </w:r>
      <w:proofErr w:type="spellStart"/>
      <w:r w:rsidRPr="002C09A1">
        <w:rPr>
          <w:rFonts w:ascii="Arial" w:hAnsi="Arial" w:cs="Arial"/>
          <w:sz w:val="20"/>
          <w:szCs w:val="20"/>
        </w:rPr>
        <w:t>Medlogix</w:t>
      </w:r>
      <w:proofErr w:type="spellEnd"/>
      <w:r w:rsidRPr="002C09A1">
        <w:rPr>
          <w:rFonts w:ascii="Arial" w:hAnsi="Arial" w:cs="Arial"/>
          <w:sz w:val="20"/>
          <w:szCs w:val="20"/>
        </w:rPr>
        <w:t xml:space="preserve"> no later than (30) thirty days after receipt of a written denial or modification of requested services. </w:t>
      </w:r>
    </w:p>
    <w:p w14:paraId="7E593C36" w14:textId="68F0754F" w:rsidR="00EF2F16" w:rsidRDefault="00EF2F16">
      <w:pPr>
        <w:spacing w:before="227" w:line="230" w:lineRule="exact"/>
        <w:textAlignment w:val="baseline"/>
        <w:rPr>
          <w:rFonts w:ascii="Arial" w:hAnsi="Arial" w:cs="Arial"/>
          <w:sz w:val="20"/>
          <w:szCs w:val="20"/>
        </w:rPr>
      </w:pPr>
      <w:r w:rsidRPr="002C09A1">
        <w:rPr>
          <w:rFonts w:ascii="Arial" w:hAnsi="Arial" w:cs="Arial"/>
          <w:sz w:val="20"/>
          <w:szCs w:val="20"/>
        </w:rPr>
        <w:t xml:space="preserve">A final decision will be communicated in writing to the health care provider who submitted the appeal within (14) fourteen days from the date </w:t>
      </w:r>
      <w:proofErr w:type="spellStart"/>
      <w:r w:rsidRPr="002C09A1">
        <w:rPr>
          <w:rFonts w:ascii="Arial" w:hAnsi="Arial" w:cs="Arial"/>
          <w:sz w:val="20"/>
          <w:szCs w:val="20"/>
        </w:rPr>
        <w:t>Medlogix</w:t>
      </w:r>
      <w:proofErr w:type="spellEnd"/>
      <w:r w:rsidRPr="002C09A1">
        <w:rPr>
          <w:rFonts w:ascii="Arial" w:hAnsi="Arial" w:cs="Arial"/>
          <w:sz w:val="20"/>
          <w:szCs w:val="20"/>
        </w:rPr>
        <w:t xml:space="preserve"> </w:t>
      </w:r>
      <w:r w:rsidRPr="00EF2F16">
        <w:rPr>
          <w:rFonts w:ascii="Arial" w:hAnsi="Arial" w:cs="Arial"/>
          <w:sz w:val="20"/>
          <w:szCs w:val="20"/>
        </w:rPr>
        <w:t xml:space="preserve">received the properly submitted appeal. </w:t>
      </w:r>
    </w:p>
    <w:p w14:paraId="4067CCBE" w14:textId="7748B260" w:rsidR="00EF2F16" w:rsidRDefault="00EF2F16">
      <w:pPr>
        <w:spacing w:before="227" w:line="230" w:lineRule="exact"/>
        <w:textAlignment w:val="baseline"/>
        <w:rPr>
          <w:rFonts w:ascii="Arial" w:hAnsi="Arial" w:cs="Arial"/>
          <w:sz w:val="20"/>
          <w:szCs w:val="20"/>
        </w:rPr>
      </w:pPr>
      <w:r w:rsidRPr="00EF2F16">
        <w:rPr>
          <w:rFonts w:ascii="Arial" w:hAnsi="Arial" w:cs="Arial"/>
          <w:sz w:val="20"/>
          <w:szCs w:val="20"/>
        </w:rPr>
        <w:t>All pre-service appeals received after (30) thirty days from the date of receipt of the adverse decision notice shall be acknowledged as “Late Appeals.” All pre-service appeals that are acknowledged as “Late Appeals” will not be processed. The pre-service appeal form must be completed, including, but not limited to the minimum required fields as indicated by an asterisk (*).</w:t>
      </w:r>
      <w:r w:rsidR="008C6D94">
        <w:rPr>
          <w:rFonts w:ascii="Arial" w:hAnsi="Arial" w:cs="Arial"/>
          <w:sz w:val="20"/>
          <w:szCs w:val="20"/>
        </w:rPr>
        <w:t xml:space="preserve"> </w:t>
      </w:r>
      <w:r w:rsidRPr="00EF2F16">
        <w:rPr>
          <w:rFonts w:ascii="Arial" w:hAnsi="Arial" w:cs="Arial"/>
          <w:sz w:val="20"/>
          <w:szCs w:val="20"/>
        </w:rPr>
        <w:t xml:space="preserve">Further, an appeal rationale narrative is required to be included within these forms. Failure to comply with this requirement will result in an administrative denial of the appeal. </w:t>
      </w:r>
    </w:p>
    <w:p w14:paraId="692668DE" w14:textId="77777777" w:rsidR="00586313" w:rsidRDefault="00EF2F16" w:rsidP="00EF2F16">
      <w:pPr>
        <w:spacing w:before="227" w:line="230" w:lineRule="exact"/>
        <w:textAlignment w:val="baseline"/>
        <w:rPr>
          <w:rFonts w:ascii="Arial" w:eastAsia="Arial" w:hAnsi="Arial" w:cs="Arial"/>
          <w:b/>
          <w:color w:val="000000"/>
          <w:spacing w:val="-1"/>
          <w:sz w:val="20"/>
          <w:szCs w:val="20"/>
          <w:u w:val="single"/>
        </w:rPr>
      </w:pPr>
      <w:r w:rsidRPr="00EF2F16">
        <w:rPr>
          <w:rFonts w:ascii="Arial" w:hAnsi="Arial" w:cs="Arial"/>
          <w:sz w:val="20"/>
          <w:szCs w:val="20"/>
        </w:rPr>
        <w:t>If a pre-service appeal is not properly submitted within (30) thirty days from the date the provider has received notice of the adverse decision, the health care provider may submit another decision point review request for the services in accordance with the aforementioned section in this DPR Plan named “How to Submit Decision Point and/or Precertification Requests”.</w:t>
      </w:r>
    </w:p>
    <w:p w14:paraId="0191F04F" w14:textId="49C62C83" w:rsidR="00EF2F16" w:rsidRDefault="00EF2F16" w:rsidP="00EF2F16">
      <w:pPr>
        <w:spacing w:before="227" w:line="230" w:lineRule="exact"/>
        <w:textAlignment w:val="baseline"/>
        <w:rPr>
          <w:rFonts w:ascii="Arial" w:hAnsi="Arial" w:cs="Arial"/>
          <w:sz w:val="20"/>
          <w:szCs w:val="20"/>
        </w:rPr>
      </w:pPr>
      <w:r w:rsidRPr="00EF2F16">
        <w:rPr>
          <w:rFonts w:ascii="Arial" w:hAnsi="Arial" w:cs="Arial"/>
          <w:b/>
          <w:sz w:val="20"/>
          <w:szCs w:val="20"/>
          <w:u w:val="single"/>
        </w:rPr>
        <w:t>Post-Service Appeals</w:t>
      </w:r>
      <w:r w:rsidRPr="00EF2F16">
        <w:rPr>
          <w:rFonts w:ascii="Arial" w:hAnsi="Arial" w:cs="Arial"/>
          <w:sz w:val="20"/>
          <w:szCs w:val="20"/>
        </w:rPr>
        <w:t xml:space="preserve"> A post-service appeal shall be submitted in writing to </w:t>
      </w:r>
      <w:r w:rsidRPr="002C09A1">
        <w:rPr>
          <w:rFonts w:ascii="Arial" w:hAnsi="Arial" w:cs="Arial"/>
          <w:sz w:val="20"/>
          <w:szCs w:val="20"/>
        </w:rPr>
        <w:t xml:space="preserve">Cincinnati Insurance </w:t>
      </w:r>
      <w:r w:rsidR="005F50F2" w:rsidRPr="002C09A1">
        <w:rPr>
          <w:rFonts w:ascii="Arial" w:hAnsi="Arial" w:cs="Arial"/>
          <w:sz w:val="20"/>
          <w:szCs w:val="20"/>
        </w:rPr>
        <w:t>Company</w:t>
      </w:r>
      <w:r w:rsidR="002C09A1" w:rsidRPr="002C09A1">
        <w:rPr>
          <w:rFonts w:ascii="Arial" w:hAnsi="Arial" w:cs="Arial"/>
          <w:sz w:val="20"/>
          <w:szCs w:val="20"/>
          <w:u w:val="single"/>
        </w:rPr>
        <w:t xml:space="preserve"> </w:t>
      </w:r>
      <w:r w:rsidRPr="00EF2F16">
        <w:rPr>
          <w:rFonts w:ascii="Arial" w:hAnsi="Arial" w:cs="Arial"/>
          <w:sz w:val="20"/>
          <w:szCs w:val="20"/>
        </w:rPr>
        <w:t xml:space="preserve">at least 45 days prior to initiating alternate dispute resolution pursuant to N.J.A.C. 11:3-5 or filing an action in Superior Court. The post-service appeal form must be completed, including, but not limited to the minimum required fields as indicated by an </w:t>
      </w:r>
      <w:r w:rsidRPr="00EF2F16">
        <w:rPr>
          <w:rFonts w:ascii="Arial" w:hAnsi="Arial" w:cs="Arial"/>
          <w:sz w:val="20"/>
          <w:szCs w:val="20"/>
        </w:rPr>
        <w:lastRenderedPageBreak/>
        <w:t>asterisk (*</w:t>
      </w:r>
      <w:r w:rsidR="005F50F2" w:rsidRPr="00EF2F16">
        <w:rPr>
          <w:rFonts w:ascii="Arial" w:hAnsi="Arial" w:cs="Arial"/>
          <w:sz w:val="20"/>
          <w:szCs w:val="20"/>
        </w:rPr>
        <w:t>). Further</w:t>
      </w:r>
      <w:r w:rsidRPr="00EF2F16">
        <w:rPr>
          <w:rFonts w:ascii="Arial" w:hAnsi="Arial" w:cs="Arial"/>
          <w:sz w:val="20"/>
          <w:szCs w:val="20"/>
        </w:rPr>
        <w:t xml:space="preserve">, an appeal rationale narrative is required to be included within these forms. Failure to comply with this requirement will result in an administrative denial of the appeal. </w:t>
      </w:r>
    </w:p>
    <w:p w14:paraId="56BCAA24" w14:textId="32C1005A" w:rsidR="00EF2F16" w:rsidRDefault="00EF2F16" w:rsidP="00EF2F16">
      <w:pPr>
        <w:spacing w:before="227" w:line="230" w:lineRule="exact"/>
        <w:textAlignment w:val="baseline"/>
        <w:rPr>
          <w:rFonts w:ascii="Arial" w:hAnsi="Arial" w:cs="Arial"/>
          <w:sz w:val="20"/>
          <w:szCs w:val="20"/>
        </w:rPr>
      </w:pPr>
      <w:r w:rsidRPr="00EF2F16">
        <w:rPr>
          <w:rFonts w:ascii="Arial" w:hAnsi="Arial" w:cs="Arial"/>
          <w:sz w:val="20"/>
          <w:szCs w:val="20"/>
        </w:rPr>
        <w:t xml:space="preserve">A final decision will be communicated in writing to the health care provider who submitted the appeal within (30) thirty days from the date </w:t>
      </w:r>
      <w:r w:rsidRPr="002C09A1">
        <w:rPr>
          <w:rFonts w:ascii="Arial" w:hAnsi="Arial" w:cs="Arial"/>
          <w:sz w:val="20"/>
          <w:szCs w:val="20"/>
        </w:rPr>
        <w:t xml:space="preserve">Cincinnati Insurance </w:t>
      </w:r>
      <w:r w:rsidR="005F50F2" w:rsidRPr="002C09A1">
        <w:rPr>
          <w:rFonts w:ascii="Arial" w:hAnsi="Arial" w:cs="Arial"/>
          <w:sz w:val="20"/>
          <w:szCs w:val="20"/>
        </w:rPr>
        <w:t>Company</w:t>
      </w:r>
      <w:r w:rsidRPr="00EF2F16">
        <w:rPr>
          <w:rFonts w:ascii="Arial" w:hAnsi="Arial" w:cs="Arial"/>
          <w:sz w:val="20"/>
          <w:szCs w:val="20"/>
        </w:rPr>
        <w:t xml:space="preserve"> received the properly submitted appeal. </w:t>
      </w:r>
    </w:p>
    <w:p w14:paraId="56784A0A" w14:textId="69AD3D40" w:rsidR="00EF2F16" w:rsidRDefault="00EF2F16" w:rsidP="000055D7">
      <w:pPr>
        <w:spacing w:before="227" w:line="230" w:lineRule="exact"/>
        <w:textAlignment w:val="baseline"/>
        <w:rPr>
          <w:rFonts w:ascii="Arial" w:eastAsia="Arial" w:hAnsi="Arial"/>
          <w:b/>
          <w:color w:val="000000"/>
          <w:sz w:val="20"/>
        </w:rPr>
      </w:pPr>
      <w:r w:rsidRPr="00EF2F16">
        <w:rPr>
          <w:rFonts w:ascii="Arial" w:hAnsi="Arial" w:cs="Arial"/>
          <w:sz w:val="20"/>
          <w:szCs w:val="20"/>
        </w:rPr>
        <w:t>Pursuant to N.J.A.C. 11:3-5.1, any completed appeal may be submitted to Alternate Dispute Resolution. If the injured party or healthcare provider retains counsel to represent them during the appeal process, they do so strictly at their own expense. No counsel fees or costs incurred during the appeal process shall be compensable. To the extent permitted by law, the results of said Alternate Dispute Resolution processes shall be final and binding.</w:t>
      </w:r>
      <w:r w:rsidR="000055D7">
        <w:rPr>
          <w:rFonts w:ascii="Arial" w:hAnsi="Arial" w:cs="Arial"/>
          <w:sz w:val="20"/>
          <w:szCs w:val="20"/>
        </w:rPr>
        <w:t xml:space="preserve"> </w:t>
      </w:r>
    </w:p>
    <w:p w14:paraId="5FBD39AC" w14:textId="77777777" w:rsidR="00EF2F16" w:rsidRDefault="00EF2F16">
      <w:pPr>
        <w:spacing w:line="229" w:lineRule="exact"/>
        <w:ind w:left="3600"/>
        <w:textAlignment w:val="baseline"/>
        <w:rPr>
          <w:rFonts w:ascii="Arial" w:eastAsia="Arial" w:hAnsi="Arial"/>
          <w:b/>
          <w:color w:val="000000"/>
          <w:sz w:val="20"/>
        </w:rPr>
      </w:pPr>
    </w:p>
    <w:p w14:paraId="795A65BB" w14:textId="77777777" w:rsidR="00EF2F16" w:rsidRDefault="00EF2F16">
      <w:pPr>
        <w:spacing w:line="229" w:lineRule="exact"/>
        <w:ind w:left="3600"/>
        <w:textAlignment w:val="baseline"/>
        <w:rPr>
          <w:rFonts w:ascii="Arial" w:eastAsia="Arial" w:hAnsi="Arial"/>
          <w:b/>
          <w:color w:val="000000"/>
          <w:sz w:val="20"/>
        </w:rPr>
      </w:pPr>
    </w:p>
    <w:p w14:paraId="2BC89679" w14:textId="77777777" w:rsidR="000055D7" w:rsidRDefault="000055D7">
      <w:pPr>
        <w:spacing w:line="229" w:lineRule="exact"/>
        <w:ind w:left="3600"/>
        <w:textAlignment w:val="baseline"/>
        <w:rPr>
          <w:rFonts w:ascii="Arial" w:eastAsia="Arial" w:hAnsi="Arial"/>
          <w:b/>
          <w:color w:val="000000"/>
          <w:sz w:val="20"/>
        </w:rPr>
      </w:pPr>
    </w:p>
    <w:p w14:paraId="6EA2A786" w14:textId="77777777" w:rsidR="000055D7" w:rsidRDefault="000055D7">
      <w:pPr>
        <w:spacing w:line="229" w:lineRule="exact"/>
        <w:ind w:left="3600"/>
        <w:textAlignment w:val="baseline"/>
        <w:rPr>
          <w:rFonts w:ascii="Arial" w:eastAsia="Arial" w:hAnsi="Arial"/>
          <w:b/>
          <w:color w:val="000000"/>
          <w:sz w:val="20"/>
        </w:rPr>
      </w:pPr>
    </w:p>
    <w:p w14:paraId="66C4458B" w14:textId="77777777" w:rsidR="000055D7" w:rsidRDefault="000055D7">
      <w:pPr>
        <w:spacing w:line="229" w:lineRule="exact"/>
        <w:ind w:left="3600"/>
        <w:textAlignment w:val="baseline"/>
        <w:rPr>
          <w:rFonts w:ascii="Arial" w:eastAsia="Arial" w:hAnsi="Arial"/>
          <w:b/>
          <w:color w:val="000000"/>
          <w:sz w:val="20"/>
        </w:rPr>
      </w:pPr>
    </w:p>
    <w:p w14:paraId="09D3054B" w14:textId="77777777" w:rsidR="000055D7" w:rsidRDefault="000055D7">
      <w:pPr>
        <w:spacing w:line="229" w:lineRule="exact"/>
        <w:ind w:left="3600"/>
        <w:textAlignment w:val="baseline"/>
        <w:rPr>
          <w:rFonts w:ascii="Arial" w:eastAsia="Arial" w:hAnsi="Arial"/>
          <w:b/>
          <w:color w:val="000000"/>
          <w:sz w:val="20"/>
        </w:rPr>
      </w:pPr>
    </w:p>
    <w:p w14:paraId="3FD7457B" w14:textId="77777777" w:rsidR="000055D7" w:rsidRDefault="000055D7">
      <w:pPr>
        <w:spacing w:line="229" w:lineRule="exact"/>
        <w:ind w:left="3600"/>
        <w:textAlignment w:val="baseline"/>
        <w:rPr>
          <w:rFonts w:ascii="Arial" w:eastAsia="Arial" w:hAnsi="Arial"/>
          <w:b/>
          <w:color w:val="000000"/>
          <w:sz w:val="20"/>
        </w:rPr>
      </w:pPr>
    </w:p>
    <w:p w14:paraId="1FC5E227" w14:textId="77777777" w:rsidR="000055D7" w:rsidRDefault="000055D7">
      <w:pPr>
        <w:spacing w:line="229" w:lineRule="exact"/>
        <w:ind w:left="3600"/>
        <w:textAlignment w:val="baseline"/>
        <w:rPr>
          <w:rFonts w:ascii="Arial" w:eastAsia="Arial" w:hAnsi="Arial"/>
          <w:b/>
          <w:color w:val="000000"/>
          <w:sz w:val="20"/>
        </w:rPr>
      </w:pPr>
    </w:p>
    <w:p w14:paraId="5AF8AE63" w14:textId="77777777" w:rsidR="000055D7" w:rsidRDefault="000055D7">
      <w:pPr>
        <w:spacing w:line="229" w:lineRule="exact"/>
        <w:ind w:left="3600"/>
        <w:textAlignment w:val="baseline"/>
        <w:rPr>
          <w:rFonts w:ascii="Arial" w:eastAsia="Arial" w:hAnsi="Arial"/>
          <w:b/>
          <w:color w:val="000000"/>
          <w:sz w:val="20"/>
        </w:rPr>
      </w:pPr>
    </w:p>
    <w:p w14:paraId="68E7D620" w14:textId="77777777" w:rsidR="000055D7" w:rsidRDefault="000055D7">
      <w:pPr>
        <w:spacing w:line="229" w:lineRule="exact"/>
        <w:ind w:left="3600"/>
        <w:textAlignment w:val="baseline"/>
        <w:rPr>
          <w:rFonts w:ascii="Arial" w:eastAsia="Arial" w:hAnsi="Arial"/>
          <w:b/>
          <w:color w:val="000000"/>
          <w:sz w:val="20"/>
        </w:rPr>
      </w:pPr>
    </w:p>
    <w:p w14:paraId="431E3A78" w14:textId="77777777" w:rsidR="000055D7" w:rsidRDefault="000055D7">
      <w:pPr>
        <w:spacing w:line="229" w:lineRule="exact"/>
        <w:ind w:left="3600"/>
        <w:textAlignment w:val="baseline"/>
        <w:rPr>
          <w:rFonts w:ascii="Arial" w:eastAsia="Arial" w:hAnsi="Arial"/>
          <w:b/>
          <w:color w:val="000000"/>
          <w:sz w:val="20"/>
        </w:rPr>
      </w:pPr>
    </w:p>
    <w:p w14:paraId="4FECFC7B" w14:textId="77777777" w:rsidR="000055D7" w:rsidRDefault="000055D7">
      <w:pPr>
        <w:spacing w:line="229" w:lineRule="exact"/>
        <w:ind w:left="3600"/>
        <w:textAlignment w:val="baseline"/>
        <w:rPr>
          <w:rFonts w:ascii="Arial" w:eastAsia="Arial" w:hAnsi="Arial"/>
          <w:b/>
          <w:color w:val="000000"/>
          <w:sz w:val="20"/>
        </w:rPr>
      </w:pPr>
    </w:p>
    <w:p w14:paraId="5814CA47" w14:textId="77777777" w:rsidR="000055D7" w:rsidRDefault="000055D7">
      <w:pPr>
        <w:spacing w:line="229" w:lineRule="exact"/>
        <w:ind w:left="3600"/>
        <w:textAlignment w:val="baseline"/>
        <w:rPr>
          <w:rFonts w:ascii="Arial" w:eastAsia="Arial" w:hAnsi="Arial"/>
          <w:b/>
          <w:color w:val="000000"/>
          <w:sz w:val="20"/>
        </w:rPr>
      </w:pPr>
    </w:p>
    <w:p w14:paraId="28AFC481" w14:textId="77777777" w:rsidR="000055D7" w:rsidRDefault="000055D7">
      <w:pPr>
        <w:spacing w:line="229" w:lineRule="exact"/>
        <w:ind w:left="3600"/>
        <w:textAlignment w:val="baseline"/>
        <w:rPr>
          <w:rFonts w:ascii="Arial" w:eastAsia="Arial" w:hAnsi="Arial"/>
          <w:b/>
          <w:color w:val="000000"/>
          <w:sz w:val="20"/>
        </w:rPr>
      </w:pPr>
    </w:p>
    <w:p w14:paraId="2D9DEDDC" w14:textId="77777777" w:rsidR="000055D7" w:rsidRDefault="000055D7">
      <w:pPr>
        <w:spacing w:line="229" w:lineRule="exact"/>
        <w:ind w:left="3600"/>
        <w:textAlignment w:val="baseline"/>
        <w:rPr>
          <w:rFonts w:ascii="Arial" w:eastAsia="Arial" w:hAnsi="Arial"/>
          <w:b/>
          <w:color w:val="000000"/>
          <w:sz w:val="20"/>
        </w:rPr>
      </w:pPr>
    </w:p>
    <w:p w14:paraId="7FC23B11" w14:textId="77777777" w:rsidR="000055D7" w:rsidRDefault="000055D7">
      <w:pPr>
        <w:spacing w:line="229" w:lineRule="exact"/>
        <w:ind w:left="3600"/>
        <w:textAlignment w:val="baseline"/>
        <w:rPr>
          <w:rFonts w:ascii="Arial" w:eastAsia="Arial" w:hAnsi="Arial"/>
          <w:b/>
          <w:color w:val="000000"/>
          <w:sz w:val="20"/>
        </w:rPr>
      </w:pPr>
    </w:p>
    <w:p w14:paraId="76A4607C" w14:textId="77777777" w:rsidR="000055D7" w:rsidRDefault="000055D7">
      <w:pPr>
        <w:spacing w:line="229" w:lineRule="exact"/>
        <w:ind w:left="3600"/>
        <w:textAlignment w:val="baseline"/>
        <w:rPr>
          <w:rFonts w:ascii="Arial" w:eastAsia="Arial" w:hAnsi="Arial"/>
          <w:b/>
          <w:color w:val="000000"/>
          <w:sz w:val="20"/>
        </w:rPr>
      </w:pPr>
    </w:p>
    <w:p w14:paraId="46D0D31B" w14:textId="77777777" w:rsidR="000055D7" w:rsidRDefault="000055D7">
      <w:pPr>
        <w:spacing w:line="229" w:lineRule="exact"/>
        <w:ind w:left="3600"/>
        <w:textAlignment w:val="baseline"/>
        <w:rPr>
          <w:rFonts w:ascii="Arial" w:eastAsia="Arial" w:hAnsi="Arial"/>
          <w:b/>
          <w:color w:val="000000"/>
          <w:sz w:val="20"/>
        </w:rPr>
      </w:pPr>
    </w:p>
    <w:p w14:paraId="22CD4775" w14:textId="77777777" w:rsidR="000055D7" w:rsidRDefault="000055D7">
      <w:pPr>
        <w:spacing w:line="229" w:lineRule="exact"/>
        <w:ind w:left="3600"/>
        <w:textAlignment w:val="baseline"/>
        <w:rPr>
          <w:rFonts w:ascii="Arial" w:eastAsia="Arial" w:hAnsi="Arial"/>
          <w:b/>
          <w:color w:val="000000"/>
          <w:sz w:val="20"/>
        </w:rPr>
      </w:pPr>
    </w:p>
    <w:p w14:paraId="4C64F2E6" w14:textId="77777777" w:rsidR="000055D7" w:rsidRDefault="000055D7">
      <w:pPr>
        <w:spacing w:line="229" w:lineRule="exact"/>
        <w:ind w:left="3600"/>
        <w:textAlignment w:val="baseline"/>
        <w:rPr>
          <w:rFonts w:ascii="Arial" w:eastAsia="Arial" w:hAnsi="Arial"/>
          <w:b/>
          <w:color w:val="000000"/>
          <w:sz w:val="20"/>
        </w:rPr>
      </w:pPr>
    </w:p>
    <w:p w14:paraId="0F9D961E" w14:textId="77777777" w:rsidR="000055D7" w:rsidRDefault="000055D7">
      <w:pPr>
        <w:spacing w:line="229" w:lineRule="exact"/>
        <w:ind w:left="3600"/>
        <w:textAlignment w:val="baseline"/>
        <w:rPr>
          <w:rFonts w:ascii="Arial" w:eastAsia="Arial" w:hAnsi="Arial"/>
          <w:b/>
          <w:color w:val="000000"/>
          <w:sz w:val="20"/>
        </w:rPr>
      </w:pPr>
    </w:p>
    <w:p w14:paraId="057DDF2D" w14:textId="77777777" w:rsidR="000055D7" w:rsidRDefault="000055D7">
      <w:pPr>
        <w:spacing w:line="229" w:lineRule="exact"/>
        <w:ind w:left="3600"/>
        <w:textAlignment w:val="baseline"/>
        <w:rPr>
          <w:rFonts w:ascii="Arial" w:eastAsia="Arial" w:hAnsi="Arial"/>
          <w:b/>
          <w:color w:val="000000"/>
          <w:sz w:val="20"/>
        </w:rPr>
      </w:pPr>
    </w:p>
    <w:p w14:paraId="72263812" w14:textId="77777777" w:rsidR="000055D7" w:rsidRDefault="000055D7">
      <w:pPr>
        <w:spacing w:line="229" w:lineRule="exact"/>
        <w:ind w:left="3600"/>
        <w:textAlignment w:val="baseline"/>
        <w:rPr>
          <w:rFonts w:ascii="Arial" w:eastAsia="Arial" w:hAnsi="Arial"/>
          <w:b/>
          <w:color w:val="000000"/>
          <w:sz w:val="20"/>
        </w:rPr>
      </w:pPr>
    </w:p>
    <w:p w14:paraId="643B45D7" w14:textId="77777777" w:rsidR="000055D7" w:rsidRDefault="000055D7">
      <w:pPr>
        <w:spacing w:line="229" w:lineRule="exact"/>
        <w:ind w:left="3600"/>
        <w:textAlignment w:val="baseline"/>
        <w:rPr>
          <w:rFonts w:ascii="Arial" w:eastAsia="Arial" w:hAnsi="Arial"/>
          <w:b/>
          <w:color w:val="000000"/>
          <w:sz w:val="20"/>
        </w:rPr>
      </w:pPr>
    </w:p>
    <w:p w14:paraId="1C427C0F" w14:textId="77777777" w:rsidR="000055D7" w:rsidRDefault="000055D7">
      <w:pPr>
        <w:spacing w:line="229" w:lineRule="exact"/>
        <w:ind w:left="3600"/>
        <w:textAlignment w:val="baseline"/>
        <w:rPr>
          <w:rFonts w:ascii="Arial" w:eastAsia="Arial" w:hAnsi="Arial"/>
          <w:b/>
          <w:color w:val="000000"/>
          <w:sz w:val="20"/>
        </w:rPr>
      </w:pPr>
    </w:p>
    <w:p w14:paraId="75B348F1" w14:textId="77777777" w:rsidR="000055D7" w:rsidRDefault="000055D7">
      <w:pPr>
        <w:spacing w:line="229" w:lineRule="exact"/>
        <w:ind w:left="3600"/>
        <w:textAlignment w:val="baseline"/>
        <w:rPr>
          <w:rFonts w:ascii="Arial" w:eastAsia="Arial" w:hAnsi="Arial"/>
          <w:b/>
          <w:color w:val="000000"/>
          <w:sz w:val="20"/>
        </w:rPr>
      </w:pPr>
    </w:p>
    <w:p w14:paraId="42EA7E11" w14:textId="77777777" w:rsidR="000055D7" w:rsidRDefault="000055D7">
      <w:pPr>
        <w:spacing w:line="229" w:lineRule="exact"/>
        <w:ind w:left="3600"/>
        <w:textAlignment w:val="baseline"/>
        <w:rPr>
          <w:rFonts w:ascii="Arial" w:eastAsia="Arial" w:hAnsi="Arial"/>
          <w:b/>
          <w:color w:val="000000"/>
          <w:sz w:val="20"/>
        </w:rPr>
      </w:pPr>
    </w:p>
    <w:p w14:paraId="63796C4C" w14:textId="77777777" w:rsidR="000055D7" w:rsidRDefault="000055D7">
      <w:pPr>
        <w:spacing w:line="229" w:lineRule="exact"/>
        <w:ind w:left="3600"/>
        <w:textAlignment w:val="baseline"/>
        <w:rPr>
          <w:rFonts w:ascii="Arial" w:eastAsia="Arial" w:hAnsi="Arial"/>
          <w:b/>
          <w:color w:val="000000"/>
          <w:sz w:val="20"/>
        </w:rPr>
      </w:pPr>
    </w:p>
    <w:p w14:paraId="60AFAF91" w14:textId="77777777" w:rsidR="000055D7" w:rsidRDefault="000055D7">
      <w:pPr>
        <w:spacing w:line="229" w:lineRule="exact"/>
        <w:ind w:left="3600"/>
        <w:textAlignment w:val="baseline"/>
        <w:rPr>
          <w:rFonts w:ascii="Arial" w:eastAsia="Arial" w:hAnsi="Arial"/>
          <w:b/>
          <w:color w:val="000000"/>
          <w:sz w:val="20"/>
        </w:rPr>
      </w:pPr>
    </w:p>
    <w:p w14:paraId="498C3073" w14:textId="77777777" w:rsidR="000055D7" w:rsidRDefault="000055D7">
      <w:pPr>
        <w:spacing w:line="229" w:lineRule="exact"/>
        <w:ind w:left="3600"/>
        <w:textAlignment w:val="baseline"/>
        <w:rPr>
          <w:rFonts w:ascii="Arial" w:eastAsia="Arial" w:hAnsi="Arial"/>
          <w:b/>
          <w:color w:val="000000"/>
          <w:sz w:val="20"/>
        </w:rPr>
      </w:pPr>
    </w:p>
    <w:p w14:paraId="7C0500CE" w14:textId="77777777" w:rsidR="000055D7" w:rsidRDefault="000055D7">
      <w:pPr>
        <w:spacing w:line="229" w:lineRule="exact"/>
        <w:ind w:left="3600"/>
        <w:textAlignment w:val="baseline"/>
        <w:rPr>
          <w:rFonts w:ascii="Arial" w:eastAsia="Arial" w:hAnsi="Arial"/>
          <w:b/>
          <w:color w:val="000000"/>
          <w:sz w:val="20"/>
        </w:rPr>
      </w:pPr>
    </w:p>
    <w:p w14:paraId="0FD13FB1" w14:textId="77777777" w:rsidR="000055D7" w:rsidRDefault="000055D7">
      <w:pPr>
        <w:spacing w:line="229" w:lineRule="exact"/>
        <w:ind w:left="3600"/>
        <w:textAlignment w:val="baseline"/>
        <w:rPr>
          <w:rFonts w:ascii="Arial" w:eastAsia="Arial" w:hAnsi="Arial"/>
          <w:b/>
          <w:color w:val="000000"/>
          <w:sz w:val="20"/>
        </w:rPr>
      </w:pPr>
    </w:p>
    <w:p w14:paraId="3293F121" w14:textId="77777777" w:rsidR="000055D7" w:rsidRDefault="000055D7">
      <w:pPr>
        <w:spacing w:line="229" w:lineRule="exact"/>
        <w:ind w:left="3600"/>
        <w:textAlignment w:val="baseline"/>
        <w:rPr>
          <w:rFonts w:ascii="Arial" w:eastAsia="Arial" w:hAnsi="Arial"/>
          <w:b/>
          <w:color w:val="000000"/>
          <w:sz w:val="20"/>
        </w:rPr>
      </w:pPr>
    </w:p>
    <w:p w14:paraId="529871A9" w14:textId="77777777" w:rsidR="000055D7" w:rsidRDefault="000055D7">
      <w:pPr>
        <w:spacing w:line="229" w:lineRule="exact"/>
        <w:ind w:left="3600"/>
        <w:textAlignment w:val="baseline"/>
        <w:rPr>
          <w:rFonts w:ascii="Arial" w:eastAsia="Arial" w:hAnsi="Arial"/>
          <w:b/>
          <w:color w:val="000000"/>
          <w:sz w:val="20"/>
        </w:rPr>
      </w:pPr>
    </w:p>
    <w:p w14:paraId="2EA4499F" w14:textId="77777777" w:rsidR="002C09A1" w:rsidRDefault="002C09A1">
      <w:pPr>
        <w:spacing w:line="229" w:lineRule="exact"/>
        <w:ind w:left="3600"/>
        <w:textAlignment w:val="baseline"/>
        <w:rPr>
          <w:rFonts w:ascii="Arial" w:eastAsia="Arial" w:hAnsi="Arial"/>
          <w:b/>
          <w:color w:val="000000"/>
          <w:sz w:val="20"/>
        </w:rPr>
      </w:pPr>
    </w:p>
    <w:p w14:paraId="471E659A" w14:textId="77777777" w:rsidR="002C09A1" w:rsidRDefault="002C09A1">
      <w:pPr>
        <w:spacing w:line="229" w:lineRule="exact"/>
        <w:ind w:left="3600"/>
        <w:textAlignment w:val="baseline"/>
        <w:rPr>
          <w:rFonts w:ascii="Arial" w:eastAsia="Arial" w:hAnsi="Arial"/>
          <w:b/>
          <w:color w:val="000000"/>
          <w:sz w:val="20"/>
        </w:rPr>
      </w:pPr>
    </w:p>
    <w:p w14:paraId="70444623" w14:textId="77777777" w:rsidR="002C09A1" w:rsidRDefault="002C09A1">
      <w:pPr>
        <w:spacing w:line="229" w:lineRule="exact"/>
        <w:ind w:left="3600"/>
        <w:textAlignment w:val="baseline"/>
        <w:rPr>
          <w:rFonts w:ascii="Arial" w:eastAsia="Arial" w:hAnsi="Arial"/>
          <w:b/>
          <w:color w:val="000000"/>
          <w:sz w:val="20"/>
        </w:rPr>
      </w:pPr>
    </w:p>
    <w:p w14:paraId="68F2374B" w14:textId="77777777" w:rsidR="002C09A1" w:rsidRDefault="002C09A1">
      <w:pPr>
        <w:spacing w:line="229" w:lineRule="exact"/>
        <w:ind w:left="3600"/>
        <w:textAlignment w:val="baseline"/>
        <w:rPr>
          <w:rFonts w:ascii="Arial" w:eastAsia="Arial" w:hAnsi="Arial"/>
          <w:b/>
          <w:color w:val="000000"/>
          <w:sz w:val="20"/>
        </w:rPr>
      </w:pPr>
    </w:p>
    <w:p w14:paraId="4CE50F68" w14:textId="77777777" w:rsidR="002C09A1" w:rsidRDefault="002C09A1">
      <w:pPr>
        <w:spacing w:line="229" w:lineRule="exact"/>
        <w:ind w:left="3600"/>
        <w:textAlignment w:val="baseline"/>
        <w:rPr>
          <w:rFonts w:ascii="Arial" w:eastAsia="Arial" w:hAnsi="Arial"/>
          <w:b/>
          <w:color w:val="000000"/>
          <w:sz w:val="20"/>
        </w:rPr>
      </w:pPr>
    </w:p>
    <w:p w14:paraId="5B5D0E3B" w14:textId="77777777" w:rsidR="002C09A1" w:rsidRDefault="002C09A1">
      <w:pPr>
        <w:spacing w:line="229" w:lineRule="exact"/>
        <w:ind w:left="3600"/>
        <w:textAlignment w:val="baseline"/>
        <w:rPr>
          <w:rFonts w:ascii="Arial" w:eastAsia="Arial" w:hAnsi="Arial"/>
          <w:b/>
          <w:color w:val="000000"/>
          <w:sz w:val="20"/>
        </w:rPr>
      </w:pPr>
    </w:p>
    <w:p w14:paraId="0FAC8BAD" w14:textId="77777777" w:rsidR="002C09A1" w:rsidRDefault="002C09A1">
      <w:pPr>
        <w:spacing w:line="229" w:lineRule="exact"/>
        <w:ind w:left="3600"/>
        <w:textAlignment w:val="baseline"/>
        <w:rPr>
          <w:rFonts w:ascii="Arial" w:eastAsia="Arial" w:hAnsi="Arial"/>
          <w:b/>
          <w:color w:val="000000"/>
          <w:sz w:val="20"/>
        </w:rPr>
      </w:pPr>
    </w:p>
    <w:p w14:paraId="1C6948C3" w14:textId="77777777" w:rsidR="002C09A1" w:rsidRDefault="002C09A1">
      <w:pPr>
        <w:spacing w:line="229" w:lineRule="exact"/>
        <w:ind w:left="3600"/>
        <w:textAlignment w:val="baseline"/>
        <w:rPr>
          <w:rFonts w:ascii="Arial" w:eastAsia="Arial" w:hAnsi="Arial"/>
          <w:b/>
          <w:color w:val="000000"/>
          <w:sz w:val="20"/>
        </w:rPr>
      </w:pPr>
    </w:p>
    <w:p w14:paraId="7712AC38" w14:textId="77777777" w:rsidR="002C09A1" w:rsidRDefault="002C09A1">
      <w:pPr>
        <w:spacing w:line="229" w:lineRule="exact"/>
        <w:ind w:left="3600"/>
        <w:textAlignment w:val="baseline"/>
        <w:rPr>
          <w:rFonts w:ascii="Arial" w:eastAsia="Arial" w:hAnsi="Arial"/>
          <w:b/>
          <w:color w:val="000000"/>
          <w:sz w:val="20"/>
        </w:rPr>
      </w:pPr>
    </w:p>
    <w:p w14:paraId="37BD9F8B" w14:textId="77777777" w:rsidR="002C09A1" w:rsidRDefault="002C09A1">
      <w:pPr>
        <w:spacing w:line="229" w:lineRule="exact"/>
        <w:ind w:left="3600"/>
        <w:textAlignment w:val="baseline"/>
        <w:rPr>
          <w:rFonts w:ascii="Arial" w:eastAsia="Arial" w:hAnsi="Arial"/>
          <w:b/>
          <w:color w:val="000000"/>
          <w:sz w:val="20"/>
        </w:rPr>
      </w:pPr>
    </w:p>
    <w:p w14:paraId="5829F087" w14:textId="77777777" w:rsidR="002C09A1" w:rsidRDefault="002C09A1">
      <w:pPr>
        <w:spacing w:line="229" w:lineRule="exact"/>
        <w:ind w:left="3600"/>
        <w:textAlignment w:val="baseline"/>
        <w:rPr>
          <w:rFonts w:ascii="Arial" w:eastAsia="Arial" w:hAnsi="Arial"/>
          <w:b/>
          <w:color w:val="000000"/>
          <w:sz w:val="20"/>
        </w:rPr>
      </w:pPr>
    </w:p>
    <w:p w14:paraId="596642F2" w14:textId="77777777" w:rsidR="000055D7" w:rsidRDefault="000055D7">
      <w:pPr>
        <w:spacing w:line="229" w:lineRule="exact"/>
        <w:ind w:left="3600"/>
        <w:textAlignment w:val="baseline"/>
        <w:rPr>
          <w:rFonts w:ascii="Arial" w:eastAsia="Arial" w:hAnsi="Arial"/>
          <w:b/>
          <w:color w:val="000000"/>
          <w:sz w:val="20"/>
        </w:rPr>
      </w:pPr>
    </w:p>
    <w:p w14:paraId="37FC2EA0" w14:textId="77777777" w:rsidR="000055D7" w:rsidRDefault="000055D7">
      <w:pPr>
        <w:spacing w:line="229" w:lineRule="exact"/>
        <w:ind w:left="3600"/>
        <w:textAlignment w:val="baseline"/>
        <w:rPr>
          <w:rFonts w:ascii="Arial" w:eastAsia="Arial" w:hAnsi="Arial"/>
          <w:b/>
          <w:color w:val="000000"/>
          <w:sz w:val="20"/>
        </w:rPr>
      </w:pPr>
    </w:p>
    <w:p w14:paraId="63AC9C78" w14:textId="77777777" w:rsidR="000055D7" w:rsidRDefault="000055D7">
      <w:pPr>
        <w:spacing w:line="229" w:lineRule="exact"/>
        <w:ind w:left="3600"/>
        <w:textAlignment w:val="baseline"/>
        <w:rPr>
          <w:rFonts w:ascii="Arial" w:eastAsia="Arial" w:hAnsi="Arial"/>
          <w:b/>
          <w:color w:val="000000"/>
          <w:sz w:val="20"/>
        </w:rPr>
      </w:pPr>
    </w:p>
    <w:p w14:paraId="22B1E22F" w14:textId="77777777" w:rsidR="000055D7" w:rsidRDefault="000055D7">
      <w:pPr>
        <w:spacing w:line="229" w:lineRule="exact"/>
        <w:ind w:left="3600"/>
        <w:textAlignment w:val="baseline"/>
        <w:rPr>
          <w:rFonts w:ascii="Arial" w:eastAsia="Arial" w:hAnsi="Arial"/>
          <w:b/>
          <w:color w:val="000000"/>
          <w:sz w:val="20"/>
        </w:rPr>
      </w:pPr>
    </w:p>
    <w:p w14:paraId="0F9BE42C" w14:textId="77777777" w:rsidR="000055D7" w:rsidRDefault="000055D7">
      <w:pPr>
        <w:spacing w:line="229" w:lineRule="exact"/>
        <w:ind w:left="3600"/>
        <w:textAlignment w:val="baseline"/>
        <w:rPr>
          <w:rFonts w:ascii="Arial" w:eastAsia="Arial" w:hAnsi="Arial"/>
          <w:b/>
          <w:color w:val="000000"/>
          <w:sz w:val="20"/>
        </w:rPr>
      </w:pPr>
    </w:p>
    <w:p w14:paraId="454CE8E6" w14:textId="77777777" w:rsidR="000055D7" w:rsidRDefault="000055D7">
      <w:pPr>
        <w:spacing w:line="229" w:lineRule="exact"/>
        <w:ind w:left="3600"/>
        <w:textAlignment w:val="baseline"/>
        <w:rPr>
          <w:rFonts w:ascii="Arial" w:eastAsia="Arial" w:hAnsi="Arial"/>
          <w:b/>
          <w:color w:val="000000"/>
          <w:sz w:val="20"/>
        </w:rPr>
      </w:pPr>
    </w:p>
    <w:p w14:paraId="492D92AD" w14:textId="77777777" w:rsidR="000055D7" w:rsidRDefault="000055D7">
      <w:pPr>
        <w:spacing w:line="229" w:lineRule="exact"/>
        <w:ind w:left="3600"/>
        <w:textAlignment w:val="baseline"/>
        <w:rPr>
          <w:rFonts w:ascii="Arial" w:eastAsia="Arial" w:hAnsi="Arial"/>
          <w:b/>
          <w:color w:val="000000"/>
          <w:sz w:val="20"/>
        </w:rPr>
      </w:pPr>
    </w:p>
    <w:p w14:paraId="3F9A93F9" w14:textId="77777777" w:rsidR="000055D7" w:rsidRDefault="000055D7">
      <w:pPr>
        <w:spacing w:line="229" w:lineRule="exact"/>
        <w:ind w:left="3600"/>
        <w:textAlignment w:val="baseline"/>
        <w:rPr>
          <w:rFonts w:ascii="Arial" w:eastAsia="Arial" w:hAnsi="Arial"/>
          <w:b/>
          <w:color w:val="000000"/>
          <w:sz w:val="20"/>
        </w:rPr>
      </w:pPr>
    </w:p>
    <w:p w14:paraId="2BD6523F" w14:textId="77777777" w:rsidR="000055D7" w:rsidRDefault="000055D7">
      <w:pPr>
        <w:spacing w:line="229" w:lineRule="exact"/>
        <w:ind w:left="3600"/>
        <w:textAlignment w:val="baseline"/>
        <w:rPr>
          <w:rFonts w:ascii="Arial" w:eastAsia="Arial" w:hAnsi="Arial"/>
          <w:b/>
          <w:color w:val="000000"/>
          <w:sz w:val="20"/>
        </w:rPr>
      </w:pPr>
    </w:p>
    <w:p w14:paraId="1BFDA681" w14:textId="282B9A97" w:rsidR="00586313" w:rsidRDefault="00EF2F16">
      <w:pPr>
        <w:spacing w:line="229" w:lineRule="exact"/>
        <w:ind w:left="3600"/>
        <w:textAlignment w:val="baseline"/>
        <w:rPr>
          <w:rFonts w:ascii="Arial" w:eastAsia="Arial" w:hAnsi="Arial"/>
          <w:b/>
          <w:color w:val="000000"/>
          <w:sz w:val="20"/>
        </w:rPr>
      </w:pPr>
      <w:r>
        <w:rPr>
          <w:rFonts w:ascii="Arial" w:eastAsia="Arial" w:hAnsi="Arial"/>
          <w:b/>
          <w:color w:val="000000"/>
          <w:sz w:val="20"/>
        </w:rPr>
        <w:lastRenderedPageBreak/>
        <w:t>EXHIBIT A</w:t>
      </w:r>
    </w:p>
    <w:p w14:paraId="13254B3B" w14:textId="77777777" w:rsidR="000055D7" w:rsidRDefault="000055D7">
      <w:pPr>
        <w:spacing w:before="2" w:line="229" w:lineRule="exact"/>
        <w:textAlignment w:val="baseline"/>
        <w:rPr>
          <w:rFonts w:ascii="Arial" w:eastAsia="Arial" w:hAnsi="Arial"/>
          <w:b/>
          <w:color w:val="000000"/>
          <w:sz w:val="20"/>
        </w:rPr>
      </w:pPr>
    </w:p>
    <w:p w14:paraId="6CE9682B" w14:textId="581E07FD" w:rsidR="00586313" w:rsidRDefault="00EF2F16">
      <w:pPr>
        <w:spacing w:before="2" w:line="229" w:lineRule="exact"/>
        <w:textAlignment w:val="baseline"/>
        <w:rPr>
          <w:rFonts w:ascii="Arial" w:eastAsia="Arial" w:hAnsi="Arial"/>
          <w:b/>
          <w:color w:val="000000"/>
          <w:sz w:val="20"/>
        </w:rPr>
      </w:pPr>
      <w:r>
        <w:rPr>
          <w:rFonts w:ascii="Arial" w:eastAsia="Arial" w:hAnsi="Arial"/>
          <w:b/>
          <w:color w:val="000000"/>
          <w:sz w:val="20"/>
        </w:rPr>
        <w:t>Identified Injuries</w:t>
      </w:r>
    </w:p>
    <w:p w14:paraId="514E3A7F" w14:textId="77777777" w:rsidR="00586313"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The following </w:t>
      </w:r>
      <w:r>
        <w:rPr>
          <w:rFonts w:ascii="Arial" w:eastAsia="Arial" w:hAnsi="Arial"/>
          <w:b/>
          <w:color w:val="000000"/>
          <w:sz w:val="20"/>
        </w:rPr>
        <w:t xml:space="preserve">International Classification of Diseases, 9th </w:t>
      </w:r>
      <w:r>
        <w:rPr>
          <w:rFonts w:ascii="Arial" w:eastAsia="Arial" w:hAnsi="Arial"/>
          <w:color w:val="000000"/>
          <w:sz w:val="20"/>
        </w:rPr>
        <w:t xml:space="preserve">Revision Clinical Modification - fifth edition </w:t>
      </w:r>
      <w:r>
        <w:rPr>
          <w:rFonts w:ascii="Arial" w:eastAsia="Arial" w:hAnsi="Arial"/>
          <w:b/>
          <w:color w:val="000000"/>
          <w:sz w:val="20"/>
        </w:rPr>
        <w:t xml:space="preserve">ICD-9-CM </w:t>
      </w:r>
      <w:r>
        <w:rPr>
          <w:rFonts w:ascii="Arial" w:eastAsia="Arial" w:hAnsi="Arial"/>
          <w:color w:val="000000"/>
          <w:sz w:val="20"/>
        </w:rPr>
        <w:t>diagnostic codes are associated with Care Path 1 through Care Path 6 for treatment of Accidental Injury to the Spine and Back and are included on each appropriate Care Path. The ICD9 codes referenced do not include codes for multiple diagnoses or co-morbidity.</w:t>
      </w:r>
    </w:p>
    <w:p w14:paraId="41270429" w14:textId="77777777" w:rsidR="00586313" w:rsidRDefault="00EF2F16">
      <w:pPr>
        <w:spacing w:before="227" w:line="229" w:lineRule="exact"/>
        <w:textAlignment w:val="baseline"/>
        <w:rPr>
          <w:rFonts w:ascii="Arial" w:eastAsia="Arial" w:hAnsi="Arial"/>
          <w:b/>
          <w:color w:val="000000"/>
          <w:spacing w:val="-2"/>
          <w:sz w:val="20"/>
        </w:rPr>
      </w:pPr>
      <w:r>
        <w:rPr>
          <w:rFonts w:ascii="Arial" w:eastAsia="Arial" w:hAnsi="Arial"/>
          <w:b/>
          <w:color w:val="000000"/>
          <w:spacing w:val="-2"/>
          <w:sz w:val="20"/>
        </w:rPr>
        <w:t>Care Path 1</w:t>
      </w:r>
    </w:p>
    <w:p w14:paraId="10D77390"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3479068C" w14:textId="77777777" w:rsidR="00586313" w:rsidRDefault="00EF2F16">
      <w:pPr>
        <w:spacing w:before="1" w:line="230" w:lineRule="exact"/>
        <w:textAlignment w:val="baseline"/>
        <w:rPr>
          <w:rFonts w:ascii="Arial" w:eastAsia="Arial" w:hAnsi="Arial"/>
          <w:color w:val="000000"/>
          <w:sz w:val="20"/>
        </w:rPr>
      </w:pPr>
      <w:r>
        <w:rPr>
          <w:rFonts w:ascii="Arial" w:eastAsia="Arial" w:hAnsi="Arial"/>
          <w:color w:val="000000"/>
          <w:sz w:val="20"/>
        </w:rPr>
        <w:t>728.85 Spasm of muscle</w:t>
      </w:r>
    </w:p>
    <w:p w14:paraId="21FCFB48"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0140CB82"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739.1 Somatic dysfunction of cervical region</w:t>
      </w:r>
    </w:p>
    <w:p w14:paraId="2DCBDF3E" w14:textId="77777777" w:rsidR="00586313" w:rsidRDefault="00EF2F16">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847.0 Sprains and strains of neck</w:t>
      </w:r>
    </w:p>
    <w:p w14:paraId="01401D07"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of back, unspecified site</w:t>
      </w:r>
    </w:p>
    <w:p w14:paraId="13A649CF" w14:textId="77777777" w:rsidR="00586313" w:rsidRDefault="00EF2F16">
      <w:pPr>
        <w:spacing w:line="226"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6D6A4521"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 xml:space="preserve">922.31 Contusion of back, excludes interscapular </w:t>
      </w:r>
      <w:proofErr w:type="gramStart"/>
      <w:r>
        <w:rPr>
          <w:rFonts w:ascii="Arial" w:eastAsia="Arial" w:hAnsi="Arial"/>
          <w:color w:val="000000"/>
          <w:sz w:val="20"/>
        </w:rPr>
        <w:t>region</w:t>
      </w:r>
      <w:proofErr w:type="gramEnd"/>
    </w:p>
    <w:p w14:paraId="20EAF628" w14:textId="77777777" w:rsidR="00586313" w:rsidRDefault="00EF2F16">
      <w:pPr>
        <w:spacing w:before="1" w:line="230" w:lineRule="exact"/>
        <w:textAlignment w:val="baseline"/>
        <w:rPr>
          <w:rFonts w:ascii="Arial" w:eastAsia="Arial" w:hAnsi="Arial"/>
          <w:color w:val="000000"/>
          <w:spacing w:val="5"/>
          <w:sz w:val="20"/>
        </w:rPr>
      </w:pPr>
      <w:r>
        <w:rPr>
          <w:rFonts w:ascii="Arial" w:eastAsia="Arial" w:hAnsi="Arial"/>
          <w:color w:val="000000"/>
          <w:spacing w:val="5"/>
          <w:sz w:val="20"/>
        </w:rPr>
        <w:t>953.0 Injury to cervical root</w:t>
      </w:r>
    </w:p>
    <w:p w14:paraId="70F2170C" w14:textId="77777777" w:rsidR="00586313" w:rsidRDefault="00EF2F16">
      <w:pPr>
        <w:spacing w:before="231" w:line="229" w:lineRule="exact"/>
        <w:textAlignment w:val="baseline"/>
        <w:rPr>
          <w:rFonts w:ascii="Arial" w:eastAsia="Arial" w:hAnsi="Arial"/>
          <w:b/>
          <w:color w:val="000000"/>
          <w:sz w:val="20"/>
        </w:rPr>
      </w:pPr>
      <w:r>
        <w:rPr>
          <w:rFonts w:ascii="Arial" w:eastAsia="Arial" w:hAnsi="Arial"/>
          <w:b/>
          <w:color w:val="000000"/>
          <w:sz w:val="20"/>
        </w:rPr>
        <w:t>Care Path 2</w:t>
      </w:r>
    </w:p>
    <w:p w14:paraId="126B223F"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722.0 Displacement of cervical intervertebral disc without myelopathy</w:t>
      </w:r>
    </w:p>
    <w:p w14:paraId="330D7A2B"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722.2 Displacement of intervertebral disc, site unspecified, without myelopathy</w:t>
      </w:r>
    </w:p>
    <w:p w14:paraId="27148EB3" w14:textId="77777777" w:rsidR="00586313" w:rsidRDefault="00EF2F16">
      <w:pPr>
        <w:spacing w:before="1"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5AB34304" w14:textId="77777777" w:rsidR="00586313" w:rsidRDefault="00EF2F16">
      <w:pPr>
        <w:spacing w:line="225" w:lineRule="exact"/>
        <w:textAlignment w:val="baseline"/>
        <w:rPr>
          <w:rFonts w:ascii="Arial" w:eastAsia="Arial" w:hAnsi="Arial"/>
          <w:color w:val="000000"/>
          <w:sz w:val="20"/>
        </w:rPr>
      </w:pPr>
      <w:r>
        <w:rPr>
          <w:rFonts w:ascii="Arial" w:eastAsia="Arial" w:hAnsi="Arial"/>
          <w:color w:val="000000"/>
          <w:sz w:val="20"/>
        </w:rPr>
        <w:t>722.71 Intervertebral disc disorder with myelopathy, cervical region</w:t>
      </w:r>
    </w:p>
    <w:p w14:paraId="2A1ED010"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7B20C6F5"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337D9A58" w14:textId="77777777" w:rsidR="00586313" w:rsidRDefault="00EF2F16">
      <w:pPr>
        <w:spacing w:line="230" w:lineRule="exact"/>
        <w:textAlignment w:val="baseline"/>
        <w:rPr>
          <w:rFonts w:ascii="Arial" w:eastAsia="Arial" w:hAnsi="Arial"/>
          <w:color w:val="000000"/>
          <w:spacing w:val="5"/>
          <w:sz w:val="20"/>
        </w:rPr>
      </w:pPr>
      <w:r>
        <w:rPr>
          <w:rFonts w:ascii="Arial" w:eastAsia="Arial" w:hAnsi="Arial"/>
          <w:color w:val="000000"/>
          <w:spacing w:val="5"/>
          <w:sz w:val="20"/>
        </w:rPr>
        <w:t>953.0 Injury to cervical root</w:t>
      </w:r>
    </w:p>
    <w:p w14:paraId="7496E6D3"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3</w:t>
      </w:r>
    </w:p>
    <w:p w14:paraId="5C222A15" w14:textId="77777777" w:rsidR="00586313" w:rsidRDefault="00EF2F16">
      <w:pPr>
        <w:spacing w:before="6"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25B5442B"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728.85 Spasm of muscle</w:t>
      </w:r>
    </w:p>
    <w:p w14:paraId="3604E59C"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4E97027" w14:textId="77777777" w:rsidR="00586313" w:rsidRDefault="00EF2F16">
      <w:pPr>
        <w:spacing w:line="226" w:lineRule="exact"/>
        <w:textAlignment w:val="baseline"/>
        <w:rPr>
          <w:rFonts w:ascii="Arial" w:eastAsia="Arial" w:hAnsi="Arial"/>
          <w:color w:val="000000"/>
          <w:spacing w:val="3"/>
          <w:sz w:val="20"/>
        </w:rPr>
      </w:pPr>
      <w:r>
        <w:rPr>
          <w:rFonts w:ascii="Arial" w:eastAsia="Arial" w:hAnsi="Arial"/>
          <w:color w:val="000000"/>
          <w:spacing w:val="3"/>
          <w:sz w:val="20"/>
        </w:rPr>
        <w:t>739.2 Somatic dysfunction of thoracic region</w:t>
      </w:r>
    </w:p>
    <w:p w14:paraId="3A808A3E" w14:textId="77777777" w:rsidR="00586313" w:rsidRDefault="00EF2F16">
      <w:pPr>
        <w:spacing w:line="230" w:lineRule="exact"/>
        <w:textAlignment w:val="baseline"/>
        <w:rPr>
          <w:rFonts w:ascii="Arial" w:eastAsia="Arial" w:hAnsi="Arial"/>
          <w:color w:val="000000"/>
          <w:spacing w:val="4"/>
          <w:sz w:val="20"/>
        </w:rPr>
      </w:pPr>
      <w:r>
        <w:rPr>
          <w:rFonts w:ascii="Arial" w:eastAsia="Arial" w:hAnsi="Arial"/>
          <w:color w:val="000000"/>
          <w:spacing w:val="4"/>
          <w:sz w:val="20"/>
        </w:rPr>
        <w:t>739.8 Somatic dysfunction of rib cage</w:t>
      </w:r>
    </w:p>
    <w:p w14:paraId="704452F3" w14:textId="77777777" w:rsidR="00586313" w:rsidRDefault="00EF2F16">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847.1 Sprains and strains, thoracic</w:t>
      </w:r>
    </w:p>
    <w:p w14:paraId="082F19BC"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of back, unspecified site</w:t>
      </w:r>
    </w:p>
    <w:p w14:paraId="11FAF2AE" w14:textId="77777777" w:rsidR="00586313" w:rsidRDefault="00EF2F16">
      <w:pPr>
        <w:spacing w:before="1" w:line="230"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633CA539"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922.33 Contusion of back, interscapular region</w:t>
      </w:r>
    </w:p>
    <w:p w14:paraId="289B5566"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4</w:t>
      </w:r>
    </w:p>
    <w:p w14:paraId="6A27EDCA"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722.0 Displacement of cervical intervertebral disc without myelopathy</w:t>
      </w:r>
    </w:p>
    <w:p w14:paraId="18DA4004"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722.1 Displacement of thoracic or lumbar intervertebral disc without myelopathy</w:t>
      </w:r>
    </w:p>
    <w:p w14:paraId="07D6A6EF"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722.11 Displacement of thoracic intervertebral disc without myelopathy</w:t>
      </w:r>
    </w:p>
    <w:p w14:paraId="50CECB42"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722.2 Displacement of intervertebral disc, site unspecified, without myelopathy</w:t>
      </w:r>
    </w:p>
    <w:p w14:paraId="285871CE"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6412A29B"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722.72 Intervertebral disc disorder with myelopathy, thoracic region</w:t>
      </w:r>
    </w:p>
    <w:p w14:paraId="39F50C0B"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08DBE5E1"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70EA115"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5</w:t>
      </w:r>
    </w:p>
    <w:p w14:paraId="07469340"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398BB207"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728.85 Spasm of muscle</w:t>
      </w:r>
    </w:p>
    <w:p w14:paraId="5FE0D4EC" w14:textId="77777777" w:rsidR="004375DF"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w:t>
      </w:r>
      <w:r w:rsidR="004375DF">
        <w:rPr>
          <w:rFonts w:ascii="Arial" w:eastAsia="Arial" w:hAnsi="Arial"/>
          <w:color w:val="000000"/>
          <w:spacing w:val="2"/>
          <w:sz w:val="20"/>
        </w:rPr>
        <w:t>d</w:t>
      </w:r>
      <w:proofErr w:type="gramEnd"/>
    </w:p>
    <w:p w14:paraId="1B99117A" w14:textId="2D84EF66"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739.3 Somatic dysfunction of lumbar region</w:t>
      </w:r>
    </w:p>
    <w:p w14:paraId="5A40450B"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739.4 Somatic dysfunction of sacral region</w:t>
      </w:r>
    </w:p>
    <w:p w14:paraId="6EA59B06" w14:textId="109DF2AA" w:rsidR="00586313" w:rsidRDefault="00EF2F16">
      <w:pPr>
        <w:tabs>
          <w:tab w:val="left" w:pos="720"/>
        </w:tabs>
        <w:spacing w:line="226" w:lineRule="exact"/>
        <w:textAlignment w:val="baseline"/>
        <w:rPr>
          <w:rFonts w:ascii="Arial" w:eastAsia="Arial" w:hAnsi="Arial"/>
          <w:color w:val="000000"/>
          <w:sz w:val="20"/>
        </w:rPr>
      </w:pPr>
      <w:r>
        <w:rPr>
          <w:rFonts w:ascii="Arial" w:eastAsia="Arial" w:hAnsi="Arial"/>
          <w:color w:val="000000"/>
          <w:sz w:val="20"/>
        </w:rPr>
        <w:t>846</w:t>
      </w:r>
      <w:r w:rsidR="005F50F2">
        <w:rPr>
          <w:rFonts w:ascii="Arial" w:eastAsia="Arial" w:hAnsi="Arial"/>
          <w:color w:val="000000"/>
          <w:sz w:val="20"/>
        </w:rPr>
        <w:t xml:space="preserve">    </w:t>
      </w:r>
      <w:r>
        <w:rPr>
          <w:rFonts w:ascii="Arial" w:eastAsia="Arial" w:hAnsi="Arial"/>
          <w:color w:val="000000"/>
          <w:sz w:val="20"/>
        </w:rPr>
        <w:t>Sprains and strains of sacroiliac region</w:t>
      </w:r>
    </w:p>
    <w:p w14:paraId="623921D3"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846.0 Sprains and strains of lumbosacral (joint) (ligament)</w:t>
      </w:r>
    </w:p>
    <w:p w14:paraId="44D3842D"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846.1 Sprains and strains of sacroiliac ligament</w:t>
      </w:r>
    </w:p>
    <w:p w14:paraId="01829B1A"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846.2 Sprains and strains of </w:t>
      </w:r>
      <w:proofErr w:type="spellStart"/>
      <w:r>
        <w:rPr>
          <w:rFonts w:ascii="Arial" w:eastAsia="Arial" w:hAnsi="Arial"/>
          <w:color w:val="000000"/>
          <w:spacing w:val="2"/>
          <w:sz w:val="20"/>
        </w:rPr>
        <w:t>sacrospinatus</w:t>
      </w:r>
      <w:proofErr w:type="spellEnd"/>
      <w:r>
        <w:rPr>
          <w:rFonts w:ascii="Arial" w:eastAsia="Arial" w:hAnsi="Arial"/>
          <w:color w:val="000000"/>
          <w:spacing w:val="2"/>
          <w:sz w:val="20"/>
        </w:rPr>
        <w:t xml:space="preserve"> (ligament)</w:t>
      </w:r>
    </w:p>
    <w:p w14:paraId="0A84E561"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 xml:space="preserve">846.3 Sprains and strains of </w:t>
      </w:r>
      <w:proofErr w:type="spellStart"/>
      <w:r>
        <w:rPr>
          <w:rFonts w:ascii="Arial" w:eastAsia="Arial" w:hAnsi="Arial"/>
          <w:color w:val="000000"/>
          <w:spacing w:val="3"/>
          <w:sz w:val="20"/>
        </w:rPr>
        <w:t>sacrotuberous</w:t>
      </w:r>
      <w:proofErr w:type="spellEnd"/>
      <w:r>
        <w:rPr>
          <w:rFonts w:ascii="Arial" w:eastAsia="Arial" w:hAnsi="Arial"/>
          <w:color w:val="000000"/>
          <w:spacing w:val="3"/>
          <w:sz w:val="20"/>
        </w:rPr>
        <w:t xml:space="preserve"> (ligament)</w:t>
      </w:r>
    </w:p>
    <w:p w14:paraId="27605ECE"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846.8 Sprains and strains of other specified sites of sacroiliac region</w:t>
      </w:r>
    </w:p>
    <w:p w14:paraId="776CD72D" w14:textId="77777777" w:rsidR="000055D7" w:rsidRDefault="000055D7" w:rsidP="000055D7">
      <w:pPr>
        <w:spacing w:line="229" w:lineRule="exact"/>
        <w:textAlignment w:val="baseline"/>
        <w:rPr>
          <w:rFonts w:ascii="Arial" w:eastAsia="Arial" w:hAnsi="Arial"/>
          <w:color w:val="000000"/>
          <w:spacing w:val="2"/>
          <w:sz w:val="20"/>
        </w:rPr>
      </w:pPr>
      <w:r>
        <w:rPr>
          <w:rFonts w:ascii="Arial" w:eastAsia="Arial" w:hAnsi="Arial"/>
          <w:color w:val="000000"/>
          <w:spacing w:val="2"/>
          <w:sz w:val="20"/>
        </w:rPr>
        <w:t>846.9 Sprains and strains, unspecified site of sacroiliac region</w:t>
      </w:r>
    </w:p>
    <w:p w14:paraId="2587C59F" w14:textId="77777777" w:rsidR="000055D7" w:rsidRDefault="000055D7" w:rsidP="000055D7">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847.2 Sprains and strains, lumbar</w:t>
      </w:r>
    </w:p>
    <w:p w14:paraId="64B52A5E" w14:textId="73742786" w:rsidR="000055D7" w:rsidRDefault="000055D7" w:rsidP="000055D7">
      <w:pPr>
        <w:spacing w:line="230" w:lineRule="exact"/>
        <w:textAlignment w:val="baseline"/>
        <w:rPr>
          <w:rFonts w:ascii="Arial" w:eastAsia="Arial" w:hAnsi="Arial"/>
          <w:color w:val="000000"/>
          <w:spacing w:val="4"/>
          <w:sz w:val="20"/>
        </w:rPr>
      </w:pPr>
      <w:r>
        <w:rPr>
          <w:rFonts w:ascii="Arial" w:eastAsia="Arial" w:hAnsi="Arial"/>
          <w:color w:val="000000"/>
          <w:spacing w:val="4"/>
          <w:sz w:val="20"/>
        </w:rPr>
        <w:lastRenderedPageBreak/>
        <w:t>847.3 Sprains and strains, sacrum</w:t>
      </w:r>
    </w:p>
    <w:p w14:paraId="15274E8A" w14:textId="77777777" w:rsidR="000055D7" w:rsidRDefault="000055D7" w:rsidP="000055D7">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847.4 Sprains and strains, coccyx</w:t>
      </w:r>
    </w:p>
    <w:p w14:paraId="1FFCB750" w14:textId="77777777" w:rsidR="000055D7" w:rsidRDefault="000055D7" w:rsidP="000055D7">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unspecified site of back</w:t>
      </w:r>
    </w:p>
    <w:p w14:paraId="3D112DDD" w14:textId="77777777" w:rsidR="000055D7" w:rsidRDefault="000055D7" w:rsidP="000055D7">
      <w:pPr>
        <w:spacing w:line="230"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57193ACB" w14:textId="77777777" w:rsidR="000055D7" w:rsidRDefault="000055D7" w:rsidP="000055D7">
      <w:pPr>
        <w:spacing w:before="1" w:line="230" w:lineRule="exact"/>
        <w:textAlignment w:val="baseline"/>
        <w:rPr>
          <w:rFonts w:ascii="Arial" w:eastAsia="Arial" w:hAnsi="Arial"/>
          <w:color w:val="000000"/>
          <w:sz w:val="20"/>
        </w:rPr>
      </w:pPr>
      <w:r>
        <w:rPr>
          <w:rFonts w:ascii="Arial" w:eastAsia="Arial" w:hAnsi="Arial"/>
          <w:color w:val="000000"/>
          <w:sz w:val="20"/>
        </w:rPr>
        <w:t xml:space="preserve">922.31 Contusion of back, excludes interscapular </w:t>
      </w:r>
      <w:proofErr w:type="gramStart"/>
      <w:r>
        <w:rPr>
          <w:rFonts w:ascii="Arial" w:eastAsia="Arial" w:hAnsi="Arial"/>
          <w:color w:val="000000"/>
          <w:sz w:val="20"/>
        </w:rPr>
        <w:t>region</w:t>
      </w:r>
      <w:proofErr w:type="gramEnd"/>
    </w:p>
    <w:p w14:paraId="7DF170D5" w14:textId="77777777" w:rsidR="000055D7" w:rsidRDefault="000055D7" w:rsidP="000055D7">
      <w:pPr>
        <w:spacing w:line="230" w:lineRule="exact"/>
        <w:textAlignment w:val="baseline"/>
        <w:rPr>
          <w:rFonts w:ascii="Arial" w:eastAsia="Arial" w:hAnsi="Arial"/>
          <w:color w:val="000000"/>
          <w:spacing w:val="5"/>
          <w:sz w:val="20"/>
        </w:rPr>
      </w:pPr>
      <w:r>
        <w:rPr>
          <w:rFonts w:ascii="Arial" w:eastAsia="Arial" w:hAnsi="Arial"/>
          <w:color w:val="000000"/>
          <w:spacing w:val="5"/>
          <w:sz w:val="20"/>
        </w:rPr>
        <w:t>953.2 Injury to lumbar root</w:t>
      </w:r>
    </w:p>
    <w:p w14:paraId="32829B95" w14:textId="77777777" w:rsidR="000055D7" w:rsidRDefault="000055D7" w:rsidP="000055D7">
      <w:pPr>
        <w:spacing w:before="1" w:line="230" w:lineRule="exact"/>
        <w:textAlignment w:val="baseline"/>
        <w:rPr>
          <w:rFonts w:ascii="Arial" w:eastAsia="Arial" w:hAnsi="Arial"/>
          <w:color w:val="000000"/>
          <w:spacing w:val="5"/>
          <w:sz w:val="20"/>
        </w:rPr>
      </w:pPr>
      <w:r>
        <w:rPr>
          <w:rFonts w:ascii="Arial" w:eastAsia="Arial" w:hAnsi="Arial"/>
          <w:color w:val="000000"/>
          <w:spacing w:val="5"/>
          <w:sz w:val="20"/>
        </w:rPr>
        <w:t>953.3 Injury to sacral root</w:t>
      </w:r>
    </w:p>
    <w:p w14:paraId="579774E0" w14:textId="77777777" w:rsidR="000055D7" w:rsidRDefault="000055D7" w:rsidP="000055D7">
      <w:pPr>
        <w:spacing w:before="229" w:line="229" w:lineRule="exact"/>
        <w:textAlignment w:val="baseline"/>
        <w:rPr>
          <w:rFonts w:ascii="Arial" w:eastAsia="Arial" w:hAnsi="Arial"/>
          <w:b/>
          <w:color w:val="000000"/>
          <w:sz w:val="20"/>
        </w:rPr>
      </w:pPr>
      <w:r>
        <w:rPr>
          <w:rFonts w:ascii="Arial" w:eastAsia="Arial" w:hAnsi="Arial"/>
          <w:b/>
          <w:color w:val="000000"/>
          <w:sz w:val="20"/>
        </w:rPr>
        <w:t>Care Path 6</w:t>
      </w:r>
    </w:p>
    <w:p w14:paraId="686B95BB" w14:textId="77777777" w:rsidR="000055D7" w:rsidRDefault="000055D7" w:rsidP="000055D7">
      <w:pPr>
        <w:spacing w:line="228" w:lineRule="exact"/>
        <w:textAlignment w:val="baseline"/>
        <w:rPr>
          <w:rFonts w:ascii="Arial" w:eastAsia="Arial" w:hAnsi="Arial"/>
          <w:color w:val="000000"/>
          <w:sz w:val="20"/>
        </w:rPr>
      </w:pPr>
      <w:r>
        <w:rPr>
          <w:rFonts w:ascii="Arial" w:eastAsia="Arial" w:hAnsi="Arial"/>
          <w:color w:val="000000"/>
          <w:sz w:val="20"/>
        </w:rPr>
        <w:t>722.1 Displacement of thoracic or lumbar intervertebral disc without myelopathy</w:t>
      </w:r>
    </w:p>
    <w:p w14:paraId="025C1768" w14:textId="77777777" w:rsidR="000055D7" w:rsidRDefault="000055D7" w:rsidP="000055D7">
      <w:pPr>
        <w:spacing w:line="230" w:lineRule="exact"/>
        <w:textAlignment w:val="baseline"/>
        <w:rPr>
          <w:rFonts w:ascii="Arial" w:eastAsia="Arial" w:hAnsi="Arial"/>
          <w:color w:val="000000"/>
          <w:sz w:val="20"/>
        </w:rPr>
      </w:pPr>
      <w:r>
        <w:rPr>
          <w:rFonts w:ascii="Arial" w:eastAsia="Arial" w:hAnsi="Arial"/>
          <w:color w:val="000000"/>
          <w:sz w:val="20"/>
        </w:rPr>
        <w:t>722.10 Displacement of lumbar intervertebral disc without myelopathy</w:t>
      </w:r>
    </w:p>
    <w:p w14:paraId="21FA968C" w14:textId="77777777" w:rsidR="000055D7" w:rsidRDefault="000055D7" w:rsidP="000055D7">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722.2 Displacement of intervertebral disc, site unspecified, without myelopathy</w:t>
      </w:r>
    </w:p>
    <w:p w14:paraId="256E4152" w14:textId="77777777" w:rsidR="000055D7" w:rsidRDefault="000055D7" w:rsidP="000055D7">
      <w:pPr>
        <w:spacing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11CCA3B5" w14:textId="77777777" w:rsidR="000055D7" w:rsidRDefault="000055D7" w:rsidP="000055D7">
      <w:pPr>
        <w:spacing w:before="1" w:line="230" w:lineRule="exact"/>
        <w:textAlignment w:val="baseline"/>
        <w:rPr>
          <w:rFonts w:ascii="Arial" w:eastAsia="Arial" w:hAnsi="Arial"/>
          <w:color w:val="000000"/>
          <w:sz w:val="20"/>
        </w:rPr>
      </w:pPr>
      <w:r>
        <w:rPr>
          <w:rFonts w:ascii="Arial" w:eastAsia="Arial" w:hAnsi="Arial"/>
          <w:color w:val="000000"/>
          <w:sz w:val="20"/>
        </w:rPr>
        <w:t>722.73 Intervertebral disc disorder with myelopathy, lumbar region</w:t>
      </w:r>
    </w:p>
    <w:p w14:paraId="72B12414" w14:textId="77777777" w:rsidR="000055D7" w:rsidRDefault="000055D7" w:rsidP="000055D7">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10C1FE7E" w14:textId="77777777" w:rsidR="000055D7" w:rsidRDefault="000055D7" w:rsidP="000055D7">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D4CD88C" w14:textId="77777777" w:rsidR="000055D7" w:rsidRDefault="000055D7" w:rsidP="000055D7">
      <w:pPr>
        <w:spacing w:after="9745" w:line="226" w:lineRule="exact"/>
        <w:textAlignment w:val="baseline"/>
        <w:rPr>
          <w:rFonts w:ascii="Arial" w:eastAsia="Arial" w:hAnsi="Arial"/>
          <w:color w:val="000000"/>
          <w:spacing w:val="5"/>
          <w:sz w:val="20"/>
        </w:rPr>
      </w:pPr>
      <w:r>
        <w:rPr>
          <w:rFonts w:ascii="Arial" w:eastAsia="Arial" w:hAnsi="Arial"/>
          <w:color w:val="000000"/>
          <w:spacing w:val="5"/>
          <w:sz w:val="20"/>
        </w:rPr>
        <w:t>953.3 Injury to sacral root</w:t>
      </w:r>
    </w:p>
    <w:p w14:paraId="7025DBC4" w14:textId="77777777" w:rsidR="000055D7" w:rsidRDefault="000055D7">
      <w:pPr>
        <w:spacing w:before="1" w:line="230" w:lineRule="exact"/>
        <w:textAlignment w:val="baseline"/>
        <w:rPr>
          <w:rFonts w:ascii="Arial" w:eastAsia="Arial" w:hAnsi="Arial"/>
          <w:color w:val="000000"/>
          <w:spacing w:val="2"/>
          <w:sz w:val="20"/>
        </w:rPr>
      </w:pPr>
    </w:p>
    <w:p w14:paraId="5335631F" w14:textId="77777777" w:rsidR="00586313" w:rsidRDefault="00586313" w:rsidP="004375DF">
      <w:pPr>
        <w:spacing w:before="95" w:line="273" w:lineRule="exact"/>
        <w:jc w:val="center"/>
        <w:textAlignment w:val="baseline"/>
        <w:rPr>
          <w:rFonts w:eastAsia="Times New Roman"/>
          <w:color w:val="000000"/>
          <w:sz w:val="24"/>
        </w:rPr>
      </w:pPr>
    </w:p>
    <w:p w14:paraId="2910B877" w14:textId="008A0B22" w:rsidR="000055D7" w:rsidRPr="004375DF" w:rsidRDefault="000055D7" w:rsidP="004375DF">
      <w:pPr>
        <w:spacing w:before="95" w:line="273" w:lineRule="exact"/>
        <w:jc w:val="center"/>
        <w:textAlignment w:val="baseline"/>
        <w:rPr>
          <w:rFonts w:eastAsia="Times New Roman"/>
          <w:color w:val="000000"/>
          <w:sz w:val="24"/>
        </w:rPr>
        <w:sectPr w:rsidR="000055D7" w:rsidRPr="004375DF">
          <w:pgSz w:w="12240" w:h="15840"/>
          <w:pgMar w:top="720" w:right="702" w:bottom="324" w:left="698" w:header="720" w:footer="720" w:gutter="0"/>
          <w:cols w:space="720"/>
        </w:sectPr>
      </w:pPr>
    </w:p>
    <w:p w14:paraId="3FD4CE07" w14:textId="77777777" w:rsidR="004375DF" w:rsidRDefault="004375DF">
      <w:pPr>
        <w:spacing w:line="229" w:lineRule="exact"/>
        <w:textAlignment w:val="baseline"/>
        <w:rPr>
          <w:rFonts w:ascii="Arial" w:eastAsia="Arial" w:hAnsi="Arial"/>
          <w:color w:val="000000"/>
          <w:spacing w:val="2"/>
          <w:sz w:val="20"/>
        </w:rPr>
      </w:pPr>
      <w:r>
        <w:rPr>
          <w:rFonts w:ascii="Arial" w:eastAsia="Arial" w:hAnsi="Arial"/>
          <w:color w:val="000000"/>
          <w:spacing w:val="2"/>
          <w:sz w:val="20"/>
        </w:rPr>
        <w:t xml:space="preserve">     </w:t>
      </w:r>
    </w:p>
    <w:p w14:paraId="7DAF9AFE" w14:textId="5881B908" w:rsidR="00586313" w:rsidRDefault="00EF2F16" w:rsidP="004375DF">
      <w:pPr>
        <w:spacing w:after="9745" w:line="226" w:lineRule="exact"/>
        <w:rPr>
          <w:rFonts w:eastAsia="Times New Roman"/>
          <w:color w:val="000000"/>
          <w:sz w:val="24"/>
        </w:rPr>
      </w:pPr>
      <w:r>
        <w:rPr>
          <w:rFonts w:eastAsia="Times New Roman"/>
          <w:color w:val="000000"/>
          <w:sz w:val="24"/>
        </w:rPr>
        <w:t>10</w:t>
      </w:r>
    </w:p>
    <w:sectPr w:rsidR="00586313">
      <w:type w:val="continuous"/>
      <w:pgSz w:w="12240" w:h="15840"/>
      <w:pgMar w:top="720" w:right="5955" w:bottom="304" w:left="59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7562" w14:textId="77777777" w:rsidR="00010417" w:rsidRDefault="00010417">
      <w:r>
        <w:separator/>
      </w:r>
    </w:p>
  </w:endnote>
  <w:endnote w:type="continuationSeparator" w:id="0">
    <w:p w14:paraId="1D5882DB" w14:textId="77777777" w:rsidR="00010417" w:rsidRDefault="0001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B5E9" w14:textId="77777777" w:rsidR="00010417" w:rsidRDefault="00010417"/>
  </w:footnote>
  <w:footnote w:type="continuationSeparator" w:id="0">
    <w:p w14:paraId="6CE5F4B4" w14:textId="77777777" w:rsidR="00010417" w:rsidRDefault="0001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34"/>
    <w:multiLevelType w:val="multilevel"/>
    <w:tmpl w:val="E68407F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F3BB7"/>
    <w:multiLevelType w:val="multilevel"/>
    <w:tmpl w:val="1BD28F34"/>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F33E0"/>
    <w:multiLevelType w:val="multilevel"/>
    <w:tmpl w:val="B7ACBD9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06AB1"/>
    <w:multiLevelType w:val="multilevel"/>
    <w:tmpl w:val="A46E8E54"/>
    <w:lvl w:ilvl="0">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E212A"/>
    <w:multiLevelType w:val="multilevel"/>
    <w:tmpl w:val="12DCECB2"/>
    <w:lvl w:ilvl="0">
      <w:start w:val="1"/>
      <w:numFmt w:val="lowerLetter"/>
      <w:lvlText w:val="(%1)"/>
      <w:lvlJc w:val="left"/>
      <w:pPr>
        <w:tabs>
          <w:tab w:val="left" w:pos="64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484"/>
    <w:multiLevelType w:val="multilevel"/>
    <w:tmpl w:val="E1F2C48A"/>
    <w:lvl w:ilvl="0">
      <w:start w:val="1"/>
      <w:numFmt w:val="upp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1B79B0"/>
    <w:multiLevelType w:val="multilevel"/>
    <w:tmpl w:val="7562B26E"/>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51DB0"/>
    <w:multiLevelType w:val="multilevel"/>
    <w:tmpl w:val="633ED7F6"/>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6B33F5"/>
    <w:multiLevelType w:val="multilevel"/>
    <w:tmpl w:val="D9A2C93A"/>
    <w:lvl w:ilvl="0">
      <w:start w:val="1"/>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106CE5"/>
    <w:multiLevelType w:val="multilevel"/>
    <w:tmpl w:val="930CBA62"/>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032807"/>
    <w:multiLevelType w:val="multilevel"/>
    <w:tmpl w:val="8A542CDA"/>
    <w:lvl w:ilvl="0">
      <w:numFmt w:val="lowerLetter"/>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0524857">
    <w:abstractNumId w:val="0"/>
  </w:num>
  <w:num w:numId="2" w16cid:durableId="9645712">
    <w:abstractNumId w:val="9"/>
  </w:num>
  <w:num w:numId="3" w16cid:durableId="2042703165">
    <w:abstractNumId w:val="7"/>
  </w:num>
  <w:num w:numId="4" w16cid:durableId="122619342">
    <w:abstractNumId w:val="6"/>
  </w:num>
  <w:num w:numId="5" w16cid:durableId="1479688258">
    <w:abstractNumId w:val="8"/>
  </w:num>
  <w:num w:numId="6" w16cid:durableId="864755304">
    <w:abstractNumId w:val="2"/>
  </w:num>
  <w:num w:numId="7" w16cid:durableId="1633242355">
    <w:abstractNumId w:val="3"/>
  </w:num>
  <w:num w:numId="8" w16cid:durableId="686057026">
    <w:abstractNumId w:val="5"/>
  </w:num>
  <w:num w:numId="9" w16cid:durableId="1088815940">
    <w:abstractNumId w:val="4"/>
  </w:num>
  <w:num w:numId="10" w16cid:durableId="1116019091">
    <w:abstractNumId w:val="10"/>
  </w:num>
  <w:num w:numId="11" w16cid:durableId="102100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13"/>
    <w:rsid w:val="000055D7"/>
    <w:rsid w:val="00010417"/>
    <w:rsid w:val="00013757"/>
    <w:rsid w:val="0006535D"/>
    <w:rsid w:val="00066726"/>
    <w:rsid w:val="002105C2"/>
    <w:rsid w:val="002C09A1"/>
    <w:rsid w:val="00336C2B"/>
    <w:rsid w:val="004375DF"/>
    <w:rsid w:val="00492866"/>
    <w:rsid w:val="00586313"/>
    <w:rsid w:val="005F50F2"/>
    <w:rsid w:val="00735156"/>
    <w:rsid w:val="008C6D94"/>
    <w:rsid w:val="00AB25E2"/>
    <w:rsid w:val="00B41B7B"/>
    <w:rsid w:val="00D41EE7"/>
    <w:rsid w:val="00D53EBB"/>
    <w:rsid w:val="00D7229C"/>
    <w:rsid w:val="00EF2F16"/>
    <w:rsid w:val="00F90DE8"/>
    <w:rsid w:val="00FB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404F"/>
  <w15:docId w15:val="{DAEF51ED-E50F-40CB-AFD8-5843D0B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logix.com" TargetMode="External"/><Relationship Id="rId13" Type="http://schemas.openxmlformats.org/officeDocument/2006/relationships/hyperlink" Target="http://www.workcompauto.optu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htm.The" TargetMode="External"/><Relationship Id="rId12" Type="http://schemas.openxmlformats.org/officeDocument/2006/relationships/hyperlink" Target="http://www.mymatrixx.com/" TargetMode="External"/><Relationship Id="rId17" Type="http://schemas.openxmlformats.org/officeDocument/2006/relationships/hyperlink" Target="http://www.workcompauto.optum.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workcompauto.opt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dobi/aicrapg.htm" TargetMode="External"/><Relationship Id="rId5" Type="http://schemas.openxmlformats.org/officeDocument/2006/relationships/footnotes" Target="footnotes.xml"/><Relationship Id="rId15" Type="http://schemas.openxmlformats.org/officeDocument/2006/relationships/hyperlink" Target="http://www.workcompauto.optum.com" TargetMode="External"/><Relationship Id="rId10" Type="http://schemas.openxmlformats.org/officeDocument/2006/relationships/hyperlink" Target="http://www.nj.gov/dobi/aicrap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j.gov/dobi/aicrapg.htm" TargetMode="External"/><Relationship Id="rId14" Type="http://schemas.openxmlformats.org/officeDocument/2006/relationships/hyperlink" Target="http://www.workcompauto.op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4624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*[IMPORTANT NOTICE TO POLICYHOLDERS MEDICAL PROTOCOLS]*</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POLICYHOLDERS MEDICAL PROTOCOLS]*</dc:title>
  <dc:creator>BIELGU1</dc:creator>
  <cp:lastModifiedBy>DeChristy, Julie</cp:lastModifiedBy>
  <cp:revision>3</cp:revision>
  <dcterms:created xsi:type="dcterms:W3CDTF">2024-01-26T15:48:00Z</dcterms:created>
  <dcterms:modified xsi:type="dcterms:W3CDTF">2024-02-02T16:29:00Z</dcterms:modified>
</cp:coreProperties>
</file>